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70" w:rsidRDefault="00AA1270"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AA1270" w:rsidRPr="005C4AA6" w:rsidRDefault="00E21064" w:rsidP="00840609">
      <w:pPr>
        <w:pStyle w:val="Title"/>
        <w:spacing w:line="276" w:lineRule="auto"/>
        <w:jc w:val="center"/>
        <w:rPr>
          <w:b/>
        </w:rPr>
      </w:pPr>
      <w:r>
        <w:rPr>
          <w:b/>
        </w:rPr>
        <w:t>Equal treatment for patients in</w:t>
      </w:r>
      <w:r w:rsidR="00DB64F0">
        <w:rPr>
          <w:b/>
        </w:rPr>
        <w:t xml:space="preserve"> </w:t>
      </w:r>
      <w:r w:rsidR="007F5F73">
        <w:rPr>
          <w:b/>
        </w:rPr>
        <w:t>education</w:t>
      </w:r>
      <w:r w:rsidR="006C6B49">
        <w:rPr>
          <w:b/>
        </w:rPr>
        <w:t xml:space="preserve"> </w:t>
      </w:r>
      <w:r w:rsidR="00DB64F0">
        <w:rPr>
          <w:b/>
        </w:rPr>
        <w:t xml:space="preserve">and </w:t>
      </w:r>
      <w:r w:rsidR="007F5F73">
        <w:rPr>
          <w:b/>
        </w:rPr>
        <w:t>employment</w:t>
      </w:r>
    </w:p>
    <w:p w:rsidR="00B763C8" w:rsidRDefault="00DB64F0" w:rsidP="00B763C8">
      <w:pPr>
        <w:pStyle w:val="Subtitle"/>
        <w:jc w:val="center"/>
      </w:pPr>
      <w:r>
        <w:t xml:space="preserve">Tackling </w:t>
      </w:r>
      <w:r w:rsidR="00F07B5A">
        <w:t xml:space="preserve">patients’ </w:t>
      </w:r>
      <w:r>
        <w:t>discrimination</w:t>
      </w:r>
      <w:r w:rsidR="00F07B5A">
        <w:t xml:space="preserve"> in education and in the workplace</w:t>
      </w:r>
      <w:r>
        <w:t xml:space="preserve"> </w:t>
      </w:r>
    </w:p>
    <w:p w:rsidR="00B17345" w:rsidRPr="00D1770A" w:rsidRDefault="00D1770A" w:rsidP="005710FE">
      <w:pPr>
        <w:spacing w:after="0"/>
        <w:jc w:val="center"/>
        <w:rPr>
          <w:b/>
          <w:color w:val="FF0000"/>
          <w:sz w:val="36"/>
          <w:szCs w:val="36"/>
        </w:rPr>
      </w:pPr>
      <w:r w:rsidRPr="00D1770A">
        <w:rPr>
          <w:b/>
          <w:color w:val="FF0000"/>
          <w:sz w:val="36"/>
          <w:szCs w:val="36"/>
        </w:rPr>
        <w:t>CONFIDENTIAL DRAFT for member consultation</w:t>
      </w:r>
    </w:p>
    <w:p w:rsidR="00D1770A" w:rsidRPr="00005589" w:rsidRDefault="00D1770A" w:rsidP="00D1770A">
      <w:pPr>
        <w:jc w:val="center"/>
        <w:rPr>
          <w:rFonts w:ascii="Candara" w:hAnsi="Candara"/>
          <w:b/>
          <w:color w:val="FF0000"/>
          <w:sz w:val="36"/>
          <w:szCs w:val="36"/>
        </w:rPr>
      </w:pPr>
      <w:r w:rsidRPr="00D1770A">
        <w:rPr>
          <w:rFonts w:ascii="Candara" w:hAnsi="Candara"/>
          <w:b/>
          <w:color w:val="FF0000"/>
          <w:sz w:val="36"/>
          <w:szCs w:val="36"/>
        </w:rPr>
        <w:t>Please do not share this draft outside your own membership.</w:t>
      </w: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484E08" w:rsidRDefault="00484E08" w:rsidP="00802B50">
      <w:pPr>
        <w:jc w:val="both"/>
      </w:pPr>
    </w:p>
    <w:p w:rsidR="00484E08" w:rsidRDefault="00484E08" w:rsidP="00802B50">
      <w:pPr>
        <w:jc w:val="both"/>
      </w:pPr>
    </w:p>
    <w:p w:rsidR="00484E08" w:rsidRDefault="00484E08" w:rsidP="00802B50">
      <w:pPr>
        <w:jc w:val="both"/>
      </w:pPr>
    </w:p>
    <w:p w:rsidR="00B17345" w:rsidRDefault="009B62B1" w:rsidP="00B73129">
      <w:pPr>
        <w:pStyle w:val="Heading1"/>
        <w:jc w:val="both"/>
      </w:pPr>
      <w:r>
        <w:lastRenderedPageBreak/>
        <w:t>Introduction</w:t>
      </w:r>
    </w:p>
    <w:p w:rsidR="00DB64F0" w:rsidRDefault="00DB64F0" w:rsidP="00781780">
      <w:pPr>
        <w:pStyle w:val="Heading2"/>
        <w:spacing w:after="0"/>
      </w:pPr>
      <w:r>
        <w:t>FOREWORD FOR EPF MEMBERS</w:t>
      </w:r>
    </w:p>
    <w:p w:rsidR="00B53C06" w:rsidRDefault="00BF4F81" w:rsidP="00B53C06">
      <w:r>
        <w:rPr>
          <w:noProof/>
          <w:lang w:eastAsia="en-GB"/>
        </w:rPr>
        <mc:AlternateContent>
          <mc:Choice Requires="wps">
            <w:drawing>
              <wp:anchor distT="0" distB="0" distL="114300" distR="114300" simplePos="0" relativeHeight="251682816" behindDoc="1" locked="0" layoutInCell="1" allowOverlap="1">
                <wp:simplePos x="0" y="0"/>
                <wp:positionH relativeFrom="column">
                  <wp:posOffset>-200025</wp:posOffset>
                </wp:positionH>
                <wp:positionV relativeFrom="paragraph">
                  <wp:posOffset>269240</wp:posOffset>
                </wp:positionV>
                <wp:extent cx="5981700" cy="70485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5981700" cy="704850"/>
                        </a:xfrm>
                        <a:prstGeom prst="roundRect">
                          <a:avLst/>
                        </a:prstGeom>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26" style="position:absolute;margin-left:-15.75pt;margin-top:21.2pt;width:471pt;height:55.5pt;z-index:-251633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" fillcolor="white [3201]" strokecolor="#9bbb59 [3206]" strokeweight="2pt"/>
            </w:pict>
          </mc:Fallback>
        </mc:AlternateContent>
      </w:r>
      <w:r w:rsidR="00781780">
        <w:t>EPF is taking position on discrimination in education and the workplace</w:t>
      </w:r>
      <w:r w:rsidR="00973010">
        <w:t xml:space="preserve"> as part of our strategic goals</w:t>
      </w:r>
      <w:r w:rsidR="00B53C06">
        <w:t xml:space="preserve">: </w:t>
      </w:r>
    </w:p>
    <w:p w:rsidR="00B53C06" w:rsidRPr="00B53C06" w:rsidRDefault="00B53C06" w:rsidP="00B53C06">
      <w:pPr>
        <w:spacing w:after="0"/>
        <w:rPr>
          <w:b/>
        </w:rPr>
      </w:pPr>
      <w:r w:rsidRPr="00B53C06">
        <w:rPr>
          <w:b/>
        </w:rPr>
        <w:t>Non</w:t>
      </w:r>
      <w:r w:rsidR="00226176">
        <w:rPr>
          <w:b/>
        </w:rPr>
        <w:t>-d</w:t>
      </w:r>
      <w:r w:rsidRPr="00B53C06">
        <w:rPr>
          <w:b/>
        </w:rPr>
        <w:t>iscrimination</w:t>
      </w:r>
    </w:p>
    <w:p w:rsidR="00B53C06" w:rsidRDefault="00B53C06" w:rsidP="00B53C06">
      <w:pPr>
        <w:spacing w:after="0"/>
      </w:pPr>
      <w:r>
        <w:t>To promote the development of EU and national policies that tackle discrimination faced by patients</w:t>
      </w:r>
    </w:p>
    <w:p w:rsidR="00947D07" w:rsidRDefault="00B53C06" w:rsidP="00B53C06">
      <w:pPr>
        <w:spacing w:after="0"/>
      </w:pPr>
      <w:r>
        <w:t>in health and social care as well as in domains like education and employment.</w:t>
      </w:r>
    </w:p>
    <w:p w:rsidR="00B53C06" w:rsidRDefault="00B53C06" w:rsidP="00B53C06">
      <w:pPr>
        <w:spacing w:after="0"/>
      </w:pPr>
    </w:p>
    <w:p w:rsidR="00781780" w:rsidRDefault="00781780" w:rsidP="00947D07">
      <w:r>
        <w:t xml:space="preserve">In </w:t>
      </w:r>
      <w:r w:rsidR="007F4AEF">
        <w:t>July 2013</w:t>
      </w:r>
      <w:r>
        <w:t xml:space="preserve">, we held the EMPATHY seminar with young patients, which </w:t>
      </w:r>
      <w:r w:rsidR="00B53C06">
        <w:t xml:space="preserve">confirmed </w:t>
      </w:r>
      <w:r w:rsidR="00973010">
        <w:t xml:space="preserve">that discrimination in education and </w:t>
      </w:r>
      <w:r w:rsidR="007F5F73">
        <w:t>employment</w:t>
      </w:r>
      <w:r w:rsidR="002C4726">
        <w:t xml:space="preserve"> are</w:t>
      </w:r>
      <w:r w:rsidR="00973010">
        <w:t xml:space="preserve"> priorities</w:t>
      </w:r>
      <w:r w:rsidR="007F4AEF">
        <w:t>.</w:t>
      </w:r>
      <w:r w:rsidR="007F4AEF">
        <w:rPr>
          <w:rStyle w:val="FootnoteReference"/>
        </w:rPr>
        <w:footnoteReference w:id="1"/>
      </w:r>
    </w:p>
    <w:p w:rsidR="007F4AEF" w:rsidRDefault="00B53C06" w:rsidP="007F4AEF">
      <w:pPr>
        <w:spacing w:after="0"/>
      </w:pPr>
      <w:r>
        <w:t>The objective</w:t>
      </w:r>
      <w:r w:rsidR="007F4AEF">
        <w:t>s of this position statement</w:t>
      </w:r>
      <w:r>
        <w:t xml:space="preserve"> </w:t>
      </w:r>
      <w:r w:rsidR="007F4AEF">
        <w:t>are:</w:t>
      </w:r>
    </w:p>
    <w:p w:rsidR="004615B6" w:rsidRPr="004615B6" w:rsidRDefault="004615B6" w:rsidP="007E6DBA">
      <w:pPr>
        <w:pStyle w:val="ListParagraph"/>
        <w:numPr>
          <w:ilvl w:val="0"/>
          <w:numId w:val="16"/>
        </w:numPr>
      </w:pPr>
      <w:r w:rsidRPr="004615B6">
        <w:t xml:space="preserve">To </w:t>
      </w:r>
      <w:r w:rsidRPr="006C50E9">
        <w:rPr>
          <w:b/>
        </w:rPr>
        <w:t>gather perspectives</w:t>
      </w:r>
      <w:r w:rsidRPr="004615B6">
        <w:t xml:space="preserve"> of patients organisations on key issues and good practices in education and in employment for the equal treatment of patients</w:t>
      </w:r>
    </w:p>
    <w:p w:rsidR="007F4AEF" w:rsidRPr="004615B6" w:rsidRDefault="007F4AEF" w:rsidP="007E6DBA">
      <w:pPr>
        <w:pStyle w:val="ListParagraph"/>
        <w:numPr>
          <w:ilvl w:val="0"/>
          <w:numId w:val="16"/>
        </w:numPr>
      </w:pPr>
      <w:r w:rsidRPr="004615B6">
        <w:t>T</w:t>
      </w:r>
      <w:r w:rsidR="00B53C06" w:rsidRPr="004615B6">
        <w:t xml:space="preserve">o </w:t>
      </w:r>
      <w:r w:rsidR="00B53C06" w:rsidRPr="006C50E9">
        <w:rPr>
          <w:b/>
        </w:rPr>
        <w:t>raise awareness</w:t>
      </w:r>
      <w:r w:rsidRPr="004615B6">
        <w:t xml:space="preserve"> amongst decision makers</w:t>
      </w:r>
      <w:r w:rsidR="00B53C06" w:rsidRPr="004615B6">
        <w:t xml:space="preserve"> on issues which patients with chronic and/or long</w:t>
      </w:r>
      <w:r w:rsidR="00DD617C">
        <w:t>-</w:t>
      </w:r>
      <w:r w:rsidR="00B53C06" w:rsidRPr="004615B6">
        <w:t xml:space="preserve">term conditions face in education and in the workplace, </w:t>
      </w:r>
    </w:p>
    <w:p w:rsidR="007F4AEF" w:rsidRPr="004615B6" w:rsidRDefault="007F4AEF" w:rsidP="007E6DBA">
      <w:pPr>
        <w:pStyle w:val="ListParagraph"/>
        <w:numPr>
          <w:ilvl w:val="0"/>
          <w:numId w:val="16"/>
        </w:numPr>
      </w:pPr>
      <w:r w:rsidRPr="004615B6">
        <w:t xml:space="preserve">To become a </w:t>
      </w:r>
      <w:r w:rsidRPr="006C50E9">
        <w:rPr>
          <w:b/>
        </w:rPr>
        <w:t>tool to engage important stakeholders</w:t>
      </w:r>
      <w:r w:rsidRPr="004615B6">
        <w:t xml:space="preserve"> including </w:t>
      </w:r>
      <w:r w:rsidR="0013099A" w:rsidRPr="004615B6">
        <w:t>employers,</w:t>
      </w:r>
      <w:r w:rsidR="0013099A">
        <w:t xml:space="preserve"> educational</w:t>
      </w:r>
      <w:r w:rsidR="001B26E2">
        <w:t xml:space="preserve"> institutions</w:t>
      </w:r>
      <w:r w:rsidR="00226176">
        <w:t>,</w:t>
      </w:r>
      <w:r w:rsidRPr="004615B6">
        <w:t xml:space="preserve"> health professionals,</w:t>
      </w:r>
      <w:r w:rsidR="00662AA4">
        <w:t xml:space="preserve"> </w:t>
      </w:r>
      <w:r w:rsidR="00226176">
        <w:t xml:space="preserve">and </w:t>
      </w:r>
      <w:r w:rsidRPr="004615B6">
        <w:t>appropriate ministries to take actions with patient organisations to break down the ba</w:t>
      </w:r>
      <w:r w:rsidR="004615B6" w:rsidRPr="004615B6">
        <w:t>rriers which patients encounter in education and on the labour market</w:t>
      </w:r>
    </w:p>
    <w:p w:rsidR="001A777A" w:rsidRDefault="00226176" w:rsidP="007E6DBA">
      <w:pPr>
        <w:pStyle w:val="ListParagraph"/>
        <w:numPr>
          <w:ilvl w:val="0"/>
          <w:numId w:val="16"/>
        </w:numPr>
      </w:pPr>
      <w:r>
        <w:rPr>
          <w:b/>
        </w:rPr>
        <w:t>To m</w:t>
      </w:r>
      <w:r w:rsidR="007F4AEF" w:rsidRPr="006C50E9">
        <w:rPr>
          <w:b/>
        </w:rPr>
        <w:t>ake</w:t>
      </w:r>
      <w:r w:rsidR="00B53C06" w:rsidRPr="006C50E9">
        <w:rPr>
          <w:b/>
        </w:rPr>
        <w:t xml:space="preserve"> recommendations</w:t>
      </w:r>
      <w:r w:rsidR="00B53C06" w:rsidRPr="004615B6">
        <w:t xml:space="preserve"> from the patients’ perspective to ensure decision makers </w:t>
      </w:r>
      <w:r w:rsidR="007F4AEF" w:rsidRPr="004615B6">
        <w:t xml:space="preserve">at EU level </w:t>
      </w:r>
      <w:r w:rsidR="00B53C06" w:rsidRPr="004615B6">
        <w:t>take actions towards patient-friendly education and workplaces.</w:t>
      </w:r>
    </w:p>
    <w:p w:rsidR="00B53C06" w:rsidRDefault="00B53C06" w:rsidP="00B53C06">
      <w:pPr>
        <w:pStyle w:val="Heading2"/>
      </w:pPr>
      <w:r>
        <w:t>WHAT IS DISCRIMINATION</w:t>
      </w:r>
      <w:r w:rsidR="00E72849">
        <w:t>?</w:t>
      </w:r>
    </w:p>
    <w:p w:rsidR="001A777A" w:rsidRDefault="001A777A" w:rsidP="001A777A">
      <w:r w:rsidRPr="001A777A">
        <w:rPr>
          <w:b/>
        </w:rPr>
        <w:t>Discrimination can be direct:</w:t>
      </w:r>
      <w:r>
        <w:t xml:space="preserve"> within EU law</w:t>
      </w:r>
      <w:r w:rsidR="00AE093B">
        <w:t xml:space="preserve">, </w:t>
      </w:r>
      <w:r>
        <w:t>direct discrimination occurs where one person is treated less favourably than another is, has been or would be treated in a comparable situation.</w:t>
      </w:r>
    </w:p>
    <w:p w:rsidR="001A777A" w:rsidRDefault="001A777A" w:rsidP="001A777A">
      <w:r w:rsidRPr="001A777A">
        <w:rPr>
          <w:b/>
        </w:rPr>
        <w:t>It can also be indirect</w:t>
      </w:r>
      <w:r>
        <w:t xml:space="preserve">: where an apparently neutral provision, criterion or practice would put </w:t>
      </w:r>
      <w:r w:rsidR="00747E6F">
        <w:t xml:space="preserve">one person </w:t>
      </w:r>
      <w:r>
        <w:t>at a particular disadvantage compared with other persons, unless that provision, criterion or practice is objectively justified by a legitimate aim and the means of achieving that aim are appropriate and necessary.</w:t>
      </w:r>
    </w:p>
    <w:p w:rsidR="001A777A" w:rsidRDefault="001A777A" w:rsidP="001A777A">
      <w:r>
        <w:t xml:space="preserve">To combat these forms of discrimination, the EU has adopted a legislative framework to implement the principle of </w:t>
      </w:r>
      <w:r w:rsidRPr="001A777A">
        <w:rPr>
          <w:b/>
        </w:rPr>
        <w:t>equal treatment between persons</w:t>
      </w:r>
      <w:r>
        <w:t>.  The principle of equal treatment requires that all people have the right to receive the same treatment, and will not be discriminated against.</w:t>
      </w:r>
    </w:p>
    <w:p w:rsidR="001A777A" w:rsidRPr="001A777A" w:rsidRDefault="001A777A" w:rsidP="001A777A">
      <w:r w:rsidRPr="001A777A">
        <w:t xml:space="preserve">EPF also combats </w:t>
      </w:r>
      <w:r w:rsidRPr="001A777A">
        <w:rPr>
          <w:b/>
        </w:rPr>
        <w:t>stigma</w:t>
      </w:r>
      <w:r w:rsidRPr="001A777A">
        <w:t>: stigma occurs when “certain differences (or imagined differences) are labelled or pointed out” and given negative associations.  Stigma is not a legal concept, unlike discrimination.</w:t>
      </w:r>
    </w:p>
    <w:p w:rsidR="00B53C06" w:rsidRDefault="007F15CB" w:rsidP="00B53C06">
      <w:pPr>
        <w:pStyle w:val="Heading2"/>
      </w:pPr>
      <w:r>
        <w:rPr>
          <w:noProof/>
          <w:lang w:eastAsia="en-GB"/>
        </w:rPr>
        <w:lastRenderedPageBreak/>
        <mc:AlternateContent>
          <mc:Choice Requires="wps">
            <w:drawing>
              <wp:anchor distT="0" distB="0" distL="114300" distR="114300" simplePos="0" relativeHeight="251662336" behindDoc="1" locked="0" layoutInCell="1" allowOverlap="1" wp14:anchorId="585E53C7" wp14:editId="35C0CBCA">
                <wp:simplePos x="0" y="0"/>
                <wp:positionH relativeFrom="column">
                  <wp:posOffset>140970</wp:posOffset>
                </wp:positionH>
                <wp:positionV relativeFrom="paragraph">
                  <wp:posOffset>354330</wp:posOffset>
                </wp:positionV>
                <wp:extent cx="206375" cy="190500"/>
                <wp:effectExtent l="0" t="0" r="22225" b="19050"/>
                <wp:wrapNone/>
                <wp:docPr id="17" name="Flowchart: Connector 17"/>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26" type="#_x0000_t120" style="position:absolute;left:0;text-align:left;margin-left:11.1pt;margin-top:27.9pt;width:16.25pt;height: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B53C06">
        <w:t>Fact and figures: why should decision makers act?</w:t>
      </w:r>
    </w:p>
    <w:p w:rsidR="001A777A" w:rsidRDefault="00E53DA7" w:rsidP="007E6DBA">
      <w:pPr>
        <w:pStyle w:val="ListParagraph"/>
        <w:numPr>
          <w:ilvl w:val="0"/>
          <w:numId w:val="2"/>
        </w:numPr>
      </w:pPr>
      <w:r w:rsidRPr="00E53DA7">
        <w:t>According to Eurofound’s Third European Q</w:t>
      </w:r>
      <w:r w:rsidR="007F5F73">
        <w:t>uality of Life Survey 2001–2012</w:t>
      </w:r>
      <w:r w:rsidRPr="00E53DA7">
        <w:t xml:space="preserve">, about </w:t>
      </w:r>
      <w:r w:rsidRPr="004E207D">
        <w:rPr>
          <w:b/>
        </w:rPr>
        <w:t>28% of Europeans report having a chronic (longstanding) physical or mental health problem, illness or disability</w:t>
      </w:r>
      <w:r>
        <w:t>, though w</w:t>
      </w:r>
      <w:r w:rsidR="00747E6F">
        <w:t>ith</w:t>
      </w:r>
      <w:r>
        <w:t xml:space="preserve"> much variation </w:t>
      </w:r>
      <w:r w:rsidR="00D9308E">
        <w:t xml:space="preserve">depending </w:t>
      </w:r>
      <w:r w:rsidR="007F5F73">
        <w:t>on member</w:t>
      </w:r>
      <w:r w:rsidR="00D9308E">
        <w:t xml:space="preserve"> states.</w:t>
      </w:r>
      <w:r w:rsidR="004615B6">
        <w:rPr>
          <w:rStyle w:val="FootnoteReference"/>
        </w:rPr>
        <w:footnoteReference w:id="2"/>
      </w:r>
    </w:p>
    <w:p w:rsidR="00E53DA7" w:rsidRDefault="007F15CB" w:rsidP="007E6DBA">
      <w:pPr>
        <w:pStyle w:val="ListParagraph"/>
        <w:numPr>
          <w:ilvl w:val="0"/>
          <w:numId w:val="2"/>
        </w:numPr>
      </w:pPr>
      <w:r>
        <w:rPr>
          <w:noProof/>
          <w:lang w:eastAsia="en-GB"/>
        </w:rPr>
        <mc:AlternateContent>
          <mc:Choice Requires="wps">
            <w:drawing>
              <wp:anchor distT="0" distB="0" distL="114300" distR="114300" simplePos="0" relativeHeight="251664384" behindDoc="1" locked="0" layoutInCell="1" allowOverlap="1" wp14:anchorId="4056DDB3" wp14:editId="5F83E348">
                <wp:simplePos x="0" y="0"/>
                <wp:positionH relativeFrom="column">
                  <wp:posOffset>156845</wp:posOffset>
                </wp:positionH>
                <wp:positionV relativeFrom="paragraph">
                  <wp:posOffset>-1270</wp:posOffset>
                </wp:positionV>
                <wp:extent cx="206375" cy="190500"/>
                <wp:effectExtent l="0" t="0" r="22225" b="19050"/>
                <wp:wrapNone/>
                <wp:docPr id="5" name="Flowchart: Connector 5"/>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5" o:spid="_x0000_s1027" type="#_x0000_t120" style="position:absolute;left:0;text-align:left;margin-left:12.35pt;margin-top:-.1pt;width:16.25pt;height: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D9308E" w:rsidRPr="00F07B5A">
        <w:rPr>
          <w:b/>
        </w:rPr>
        <w:t>1</w:t>
      </w:r>
      <w:r w:rsidR="002C4726">
        <w:rPr>
          <w:b/>
        </w:rPr>
        <w:t xml:space="preserve"> </w:t>
      </w:r>
      <w:r w:rsidR="00D9308E" w:rsidRPr="00F07B5A">
        <w:rPr>
          <w:b/>
        </w:rPr>
        <w:t xml:space="preserve">in 4 people of working age </w:t>
      </w:r>
      <w:r w:rsidR="00D9308E" w:rsidRPr="00F07B5A">
        <w:t>(15 to 64)</w:t>
      </w:r>
      <w:r w:rsidR="00D9308E">
        <w:t xml:space="preserve"> are estimated to live with long standing health problems that restrict their daily activities. Overall the major cause for this appears to be chronic diseases.</w:t>
      </w:r>
      <w:r w:rsidR="004615B6">
        <w:rPr>
          <w:rStyle w:val="FootnoteReference"/>
        </w:rPr>
        <w:footnoteReference w:id="3"/>
      </w:r>
      <w:r w:rsidRPr="007F15CB">
        <w:rPr>
          <w:noProof/>
          <w:lang w:eastAsia="en-GB"/>
        </w:rPr>
        <w:t xml:space="preserve"> </w:t>
      </w:r>
    </w:p>
    <w:p w:rsidR="00F07B5A" w:rsidRPr="00F07B5A" w:rsidRDefault="007F15CB" w:rsidP="007E6DBA">
      <w:pPr>
        <w:pStyle w:val="ListParagraph"/>
        <w:numPr>
          <w:ilvl w:val="0"/>
          <w:numId w:val="2"/>
        </w:numPr>
      </w:pPr>
      <w:r>
        <w:rPr>
          <w:noProof/>
          <w:lang w:eastAsia="en-GB"/>
        </w:rPr>
        <mc:AlternateContent>
          <mc:Choice Requires="wps">
            <w:drawing>
              <wp:anchor distT="0" distB="0" distL="114300" distR="114300" simplePos="0" relativeHeight="251666432" behindDoc="1" locked="0" layoutInCell="1" allowOverlap="1" wp14:anchorId="61B33764" wp14:editId="3360E94C">
                <wp:simplePos x="0" y="0"/>
                <wp:positionH relativeFrom="column">
                  <wp:posOffset>149860</wp:posOffset>
                </wp:positionH>
                <wp:positionV relativeFrom="paragraph">
                  <wp:posOffset>-3175</wp:posOffset>
                </wp:positionV>
                <wp:extent cx="206375" cy="190500"/>
                <wp:effectExtent l="0" t="0" r="22225" b="19050"/>
                <wp:wrapNone/>
                <wp:docPr id="20" name="Flowchart: Connector 20"/>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0" o:spid="_x0000_s1028" type="#_x0000_t120" style="position:absolute;left:0;text-align:left;margin-left:11.8pt;margin-top:-.25pt;width:16.25pt;height:1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D9308E" w:rsidRPr="00F07B5A">
        <w:t xml:space="preserve">Various sources show that </w:t>
      </w:r>
      <w:r w:rsidR="00747E6F">
        <w:t xml:space="preserve">the </w:t>
      </w:r>
      <w:r w:rsidR="00D9308E" w:rsidRPr="00F07B5A">
        <w:t xml:space="preserve">participation of people with chronic and long standing conditions </w:t>
      </w:r>
      <w:r w:rsidR="004615B6" w:rsidRPr="00F07B5A">
        <w:t xml:space="preserve">in the job market </w:t>
      </w:r>
      <w:r w:rsidR="00D9308E" w:rsidRPr="00F07B5A">
        <w:t>is problematic in the EU</w:t>
      </w:r>
      <w:r w:rsidR="004615B6" w:rsidRPr="00F07B5A">
        <w:rPr>
          <w:rStyle w:val="FootnoteReference"/>
        </w:rPr>
        <w:footnoteReference w:id="4"/>
      </w:r>
    </w:p>
    <w:p w:rsidR="00973010" w:rsidRDefault="007F15CB" w:rsidP="007E6DBA">
      <w:pPr>
        <w:pStyle w:val="ListParagraph"/>
        <w:numPr>
          <w:ilvl w:val="0"/>
          <w:numId w:val="2"/>
        </w:numPr>
      </w:pPr>
      <w:r>
        <w:rPr>
          <w:noProof/>
          <w:lang w:eastAsia="en-GB"/>
        </w:rPr>
        <mc:AlternateContent>
          <mc:Choice Requires="wps">
            <w:drawing>
              <wp:anchor distT="0" distB="0" distL="114300" distR="114300" simplePos="0" relativeHeight="251670528" behindDoc="1" locked="0" layoutInCell="1" allowOverlap="1" wp14:anchorId="27E2C6A7" wp14:editId="41EBB76E">
                <wp:simplePos x="0" y="0"/>
                <wp:positionH relativeFrom="column">
                  <wp:posOffset>165735</wp:posOffset>
                </wp:positionH>
                <wp:positionV relativeFrom="paragraph">
                  <wp:posOffset>766445</wp:posOffset>
                </wp:positionV>
                <wp:extent cx="206375" cy="190500"/>
                <wp:effectExtent l="0" t="0" r="22225" b="19050"/>
                <wp:wrapNone/>
                <wp:docPr id="7" name="Flowchart: Connector 7"/>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7" o:spid="_x0000_s1029" type="#_x0000_t120" style="position:absolute;left:0;text-align:left;margin-left:13.05pt;margin-top:60.35pt;width:16.25pt;height:1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Pr>
          <w:noProof/>
          <w:lang w:eastAsia="en-GB"/>
        </w:rPr>
        <mc:AlternateContent>
          <mc:Choice Requires="wps">
            <w:drawing>
              <wp:anchor distT="0" distB="0" distL="114300" distR="114300" simplePos="0" relativeHeight="251668480" behindDoc="1" locked="0" layoutInCell="1" allowOverlap="1" wp14:anchorId="0AE8CABC" wp14:editId="1FB6449F">
                <wp:simplePos x="0" y="0"/>
                <wp:positionH relativeFrom="column">
                  <wp:posOffset>172085</wp:posOffset>
                </wp:positionH>
                <wp:positionV relativeFrom="paragraph">
                  <wp:posOffset>-5080</wp:posOffset>
                </wp:positionV>
                <wp:extent cx="206375" cy="190500"/>
                <wp:effectExtent l="0" t="0" r="22225" b="19050"/>
                <wp:wrapNone/>
                <wp:docPr id="6" name="Flowchart: Connector 6"/>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6" o:spid="_x0000_s1030" type="#_x0000_t120" style="position:absolute;left:0;text-align:left;margin-left:13.55pt;margin-top:-.4pt;width:16.25pt;height:1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F07B5A" w:rsidRPr="00F07B5A">
        <w:t xml:space="preserve">While the </w:t>
      </w:r>
      <w:r w:rsidR="00F07B5A" w:rsidRPr="004E207D">
        <w:rPr>
          <w:b/>
        </w:rPr>
        <w:t>proportion of young people (children, adolescents, and young adults) with chronic diseases</w:t>
      </w:r>
      <w:r w:rsidR="00F07B5A" w:rsidRPr="00F07B5A">
        <w:t xml:space="preserve"> is difficult to quantify</w:t>
      </w:r>
      <w:r w:rsidR="00F07B5A" w:rsidRPr="00F07B5A">
        <w:rPr>
          <w:rStyle w:val="FootnoteReference"/>
        </w:rPr>
        <w:footnoteReference w:id="5"/>
      </w:r>
      <w:r w:rsidR="007F31A0" w:rsidRPr="00F07B5A">
        <w:t>, surveys</w:t>
      </w:r>
      <w:r w:rsidR="00F07B5A" w:rsidRPr="00F07B5A">
        <w:t xml:space="preserve"> carried out in France, Switzerland and Canada estimate </w:t>
      </w:r>
      <w:r w:rsidR="007F31A0" w:rsidRPr="00F07B5A">
        <w:t>that 10</w:t>
      </w:r>
      <w:r w:rsidR="00F07B5A" w:rsidRPr="00F07B5A">
        <w:t>% of adolescents have chronic conditions.</w:t>
      </w:r>
      <w:r w:rsidR="00F07B5A" w:rsidRPr="00F07B5A">
        <w:rPr>
          <w:rStyle w:val="FootnoteReference"/>
        </w:rPr>
        <w:footnoteReference w:id="6"/>
      </w:r>
      <w:r w:rsidR="00F07B5A" w:rsidRPr="00F07B5A">
        <w:t xml:space="preserve"> The World Health Organisation also estimates it could be as high as </w:t>
      </w:r>
      <w:r w:rsidR="00F07B5A" w:rsidRPr="004E207D">
        <w:rPr>
          <w:b/>
        </w:rPr>
        <w:t>15%</w:t>
      </w:r>
      <w:r w:rsidR="00F07B5A" w:rsidRPr="00F07B5A">
        <w:t>.</w:t>
      </w:r>
      <w:r w:rsidR="00F07B5A" w:rsidRPr="00F07B5A">
        <w:rPr>
          <w:rStyle w:val="FootnoteReference"/>
        </w:rPr>
        <w:footnoteReference w:id="7"/>
      </w:r>
    </w:p>
    <w:p w:rsidR="00F07B5A" w:rsidRDefault="007F15CB" w:rsidP="007E6DBA">
      <w:pPr>
        <w:pStyle w:val="ListParagraph"/>
        <w:numPr>
          <w:ilvl w:val="0"/>
          <w:numId w:val="2"/>
        </w:numPr>
      </w:pPr>
      <w:r>
        <w:rPr>
          <w:noProof/>
          <w:lang w:eastAsia="en-GB"/>
        </w:rPr>
        <mc:AlternateContent>
          <mc:Choice Requires="wps">
            <w:drawing>
              <wp:anchor distT="0" distB="0" distL="114300" distR="114300" simplePos="0" relativeHeight="251672576" behindDoc="1" locked="0" layoutInCell="1" allowOverlap="1" wp14:anchorId="2E7355B0" wp14:editId="19AB172F">
                <wp:simplePos x="0" y="0"/>
                <wp:positionH relativeFrom="column">
                  <wp:posOffset>165735</wp:posOffset>
                </wp:positionH>
                <wp:positionV relativeFrom="paragraph">
                  <wp:posOffset>763270</wp:posOffset>
                </wp:positionV>
                <wp:extent cx="206375" cy="190500"/>
                <wp:effectExtent l="0" t="0" r="22225" b="19050"/>
                <wp:wrapNone/>
                <wp:docPr id="9" name="Flowchart: Connector 9"/>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9" o:spid="_x0000_s1031" type="#_x0000_t120" style="position:absolute;left:0;text-align:left;margin-left:13.05pt;margin-top:60.1pt;width:16.25pt;height:1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F07B5A">
        <w:t xml:space="preserve">According to Eurofound “Young people with health problems or disabilities in the EU have difficulty accessing employment. The limited information available on this group </w:t>
      </w:r>
      <w:r w:rsidR="008248FE">
        <w:t xml:space="preserve">points to </w:t>
      </w:r>
      <w:r w:rsidR="00F07B5A">
        <w:t>very low employment rates and increasing numbers taking up disability and other benefits, either directly from school or early in their working lives.”</w:t>
      </w:r>
      <w:r w:rsidR="00F07B5A">
        <w:rPr>
          <w:rStyle w:val="FootnoteReference"/>
        </w:rPr>
        <w:footnoteReference w:id="8"/>
      </w:r>
    </w:p>
    <w:p w:rsidR="00F44547" w:rsidRPr="00F07B5A" w:rsidRDefault="00A11907" w:rsidP="007E6DBA">
      <w:pPr>
        <w:pStyle w:val="ListParagraph"/>
        <w:numPr>
          <w:ilvl w:val="0"/>
          <w:numId w:val="2"/>
        </w:numPr>
      </w:pPr>
      <w:r>
        <w:rPr>
          <w:noProof/>
          <w:lang w:eastAsia="en-GB"/>
        </w:rPr>
        <mc:AlternateContent>
          <mc:Choice Requires="wps">
            <w:drawing>
              <wp:anchor distT="0" distB="0" distL="114300" distR="114300" simplePos="0" relativeHeight="251659775" behindDoc="1" locked="0" layoutInCell="1" allowOverlap="1" wp14:anchorId="53A51C2C" wp14:editId="0036A35F">
                <wp:simplePos x="0" y="0"/>
                <wp:positionH relativeFrom="column">
                  <wp:posOffset>-57150</wp:posOffset>
                </wp:positionH>
                <wp:positionV relativeFrom="paragraph">
                  <wp:posOffset>440055</wp:posOffset>
                </wp:positionV>
                <wp:extent cx="5876925" cy="9144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5876925" cy="914400"/>
                        </a:xfrm>
                        <a:prstGeom prst="roundRect">
                          <a:avLst/>
                        </a:prstGeom>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4.5pt;margin-top:34.65pt;width:462.75pt;height:1in;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" fillcolor="white [3201]" strokecolor="#9bbb59 [3206]" strokeweight="2pt"/>
            </w:pict>
          </mc:Fallback>
        </mc:AlternateContent>
      </w:r>
      <w:r w:rsidR="00F44547">
        <w:t xml:space="preserve">About </w:t>
      </w:r>
      <w:r w:rsidR="00F44547" w:rsidRPr="00484CF5">
        <w:rPr>
          <w:b/>
        </w:rPr>
        <w:t>350 million working days are los</w:t>
      </w:r>
      <w:r w:rsidR="00F44547" w:rsidRPr="00283DF3">
        <w:rPr>
          <w:b/>
        </w:rPr>
        <w:t>t</w:t>
      </w:r>
      <w:r w:rsidR="00F44547">
        <w:t xml:space="preserve"> in the European Union each year due to health-related problems</w:t>
      </w:r>
      <w:r w:rsidR="00F44547">
        <w:rPr>
          <w:rStyle w:val="FootnoteReference"/>
        </w:rPr>
        <w:footnoteReference w:id="9"/>
      </w:r>
    </w:p>
    <w:p w:rsidR="00D9308E" w:rsidRPr="001A777A" w:rsidRDefault="00A11907" w:rsidP="00E72849">
      <w:pPr>
        <w:jc w:val="both"/>
      </w:pPr>
      <w:r>
        <w:rPr>
          <w:noProof/>
          <w:lang w:eastAsia="en-GB"/>
        </w:rPr>
        <w:drawing>
          <wp:anchor distT="0" distB="0" distL="114300" distR="114300" simplePos="0" relativeHeight="251660288" behindDoc="1" locked="0" layoutInCell="1" allowOverlap="1" wp14:anchorId="4B262FC1" wp14:editId="1302DA75">
            <wp:simplePos x="0" y="0"/>
            <wp:positionH relativeFrom="column">
              <wp:posOffset>0</wp:posOffset>
            </wp:positionH>
            <wp:positionV relativeFrom="paragraph">
              <wp:posOffset>-3175</wp:posOffset>
            </wp:positionV>
            <wp:extent cx="408305" cy="408305"/>
            <wp:effectExtent l="0" t="0" r="0" b="0"/>
            <wp:wrapTight wrapText="bothSides">
              <wp:wrapPolygon edited="0">
                <wp:start x="10078" y="0"/>
                <wp:lineTo x="4031" y="3023"/>
                <wp:lineTo x="0" y="9070"/>
                <wp:lineTo x="0" y="20156"/>
                <wp:lineTo x="3023" y="20156"/>
                <wp:lineTo x="8062" y="20156"/>
                <wp:lineTo x="18140" y="17132"/>
                <wp:lineTo x="20156" y="9070"/>
                <wp:lineTo x="20156" y="0"/>
                <wp:lineTo x="1007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14:sizeRelH relativeFrom="page">
              <wp14:pctWidth>0</wp14:pctWidth>
            </wp14:sizeRelH>
            <wp14:sizeRelV relativeFrom="page">
              <wp14:pctHeight>0</wp14:pctHeight>
            </wp14:sizeRelV>
          </wp:anchor>
        </w:drawing>
      </w:r>
      <w:r w:rsidR="00F07B5A">
        <w:t>Integration of patients with chronic conditions in the job market is a key issue, starting from a young age. It is also a widespread issue. To realise the goal</w:t>
      </w:r>
      <w:r w:rsidR="00165FEC">
        <w:t>s</w:t>
      </w:r>
      <w:r w:rsidR="00F07B5A">
        <w:t xml:space="preserve"> of Europe 2020</w:t>
      </w:r>
      <w:r w:rsidR="007F5F73">
        <w:t xml:space="preserve"> for inclusive growth</w:t>
      </w:r>
      <w:r w:rsidR="00F07B5A">
        <w:t>, it is essential to address the barriers and obstacles that patients face in education, accessing jobs, staying employ</w:t>
      </w:r>
      <w:r w:rsidR="00747E6F">
        <w:t>ed</w:t>
      </w:r>
      <w:r w:rsidR="00F07B5A">
        <w:t xml:space="preserve"> and returning to work.</w:t>
      </w:r>
      <w:r w:rsidR="007F5F73">
        <w:rPr>
          <w:rStyle w:val="FootnoteReference"/>
        </w:rPr>
        <w:footnoteReference w:id="10"/>
      </w:r>
    </w:p>
    <w:p w:rsidR="00B53C06" w:rsidRDefault="00876C60" w:rsidP="00B53C06">
      <w:pPr>
        <w:pStyle w:val="Heading2"/>
      </w:pPr>
      <w:r>
        <w:t xml:space="preserve">HOW </w:t>
      </w:r>
      <w:r w:rsidR="00B53C06">
        <w:t xml:space="preserve">Are patients protected </w:t>
      </w:r>
      <w:r w:rsidR="007D3C8A">
        <w:t>from</w:t>
      </w:r>
      <w:r w:rsidR="00B53C06">
        <w:t xml:space="preserve"> </w:t>
      </w:r>
      <w:r w:rsidR="006C50E9">
        <w:t>DISCRIMINATION BY</w:t>
      </w:r>
      <w:r w:rsidR="00B53C06">
        <w:t xml:space="preserve"> the EU?</w:t>
      </w:r>
    </w:p>
    <w:p w:rsidR="00B53C06" w:rsidRDefault="00B53C06" w:rsidP="00B53C06">
      <w:r>
        <w:t>Article 19 of the Treaty on the Functioning of</w:t>
      </w:r>
      <w:r w:rsidR="007F5F73">
        <w:t xml:space="preserve"> the European Union provides</w:t>
      </w:r>
      <w:r>
        <w:t xml:space="preserve"> the legal basis to take action to combat discrimination on six grounds (sex, racial or ethnic origin, religion or belief, disability, age or sexual orientation).The Charter of Fundamental Rights of the European Union prohibits discrimination on these six grounds and nationality (Article 21).</w:t>
      </w:r>
      <w:r w:rsidR="00F07B5A">
        <w:t xml:space="preserve"> </w:t>
      </w:r>
    </w:p>
    <w:p w:rsidR="00F07B5A" w:rsidRDefault="008248FE" w:rsidP="00B53C06">
      <w:r>
        <w:lastRenderedPageBreak/>
        <w:t xml:space="preserve">At international level, </w:t>
      </w:r>
      <w:r w:rsidR="00F07B5A">
        <w:t xml:space="preserve">The UN </w:t>
      </w:r>
      <w:r w:rsidR="00F07B5A" w:rsidRPr="00F07B5A">
        <w:t>Convention on the Rights of Persons with Disabilities</w:t>
      </w:r>
      <w:r w:rsidR="00F07B5A">
        <w:t xml:space="preserve"> sets the right to education and to work and employment for people with disabilities in its articles 24 and 27.</w:t>
      </w:r>
      <w:r w:rsidR="00F07B5A">
        <w:rPr>
          <w:rStyle w:val="FootnoteReference"/>
        </w:rPr>
        <w:footnoteReference w:id="11"/>
      </w:r>
      <w:r w:rsidR="00F07B5A">
        <w:t xml:space="preserve">The International Labour Organisation also </w:t>
      </w:r>
      <w:r w:rsidR="00AD5C68">
        <w:t>issued in</w:t>
      </w:r>
      <w:r w:rsidR="00F07B5A">
        <w:t xml:space="preserve"> 1985 the C</w:t>
      </w:r>
      <w:r w:rsidR="00F07B5A" w:rsidRPr="00F07B5A">
        <w:t>onvention concerning Vocational Rehabilitation and Employment (Disabled Persons)</w:t>
      </w:r>
      <w:r w:rsidR="00F07B5A">
        <w:t>. However both texts don’t mention chronic diseases explicitly.</w:t>
      </w:r>
    </w:p>
    <w:p w:rsidR="0085444A" w:rsidRDefault="007F5F73" w:rsidP="00B53C06">
      <w:r>
        <w:rPr>
          <w:noProof/>
          <w:lang w:eastAsia="en-GB"/>
        </w:rPr>
        <mc:AlternateContent>
          <mc:Choice Requires="wps">
            <w:drawing>
              <wp:anchor distT="0" distB="0" distL="114300" distR="114300" simplePos="0" relativeHeight="251678720" behindDoc="1" locked="0" layoutInCell="1" allowOverlap="1" wp14:anchorId="6F83661C" wp14:editId="1EF13570">
                <wp:simplePos x="0" y="0"/>
                <wp:positionH relativeFrom="column">
                  <wp:posOffset>-152400</wp:posOffset>
                </wp:positionH>
                <wp:positionV relativeFrom="paragraph">
                  <wp:posOffset>882015</wp:posOffset>
                </wp:positionV>
                <wp:extent cx="5876925" cy="6667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5876925" cy="666750"/>
                        </a:xfrm>
                        <a:prstGeom prst="roundRect">
                          <a:avLst/>
                        </a:prstGeom>
                        <a:solidFill>
                          <a:sysClr val="window" lastClr="FFFFFF"/>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12pt;margin-top:69.45pt;width:462.75pt;height: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" fillcolor="window" strokecolor="#9bbb59" strokeweight="2pt"/>
            </w:pict>
          </mc:Fallback>
        </mc:AlternateContent>
      </w:r>
      <w:r>
        <w:rPr>
          <w:noProof/>
          <w:lang w:eastAsia="en-GB"/>
        </w:rPr>
        <w:drawing>
          <wp:anchor distT="0" distB="0" distL="114300" distR="114300" simplePos="0" relativeHeight="251680768" behindDoc="1" locked="0" layoutInCell="1" allowOverlap="1" wp14:anchorId="269BC781" wp14:editId="41417415">
            <wp:simplePos x="0" y="0"/>
            <wp:positionH relativeFrom="column">
              <wp:posOffset>-9525</wp:posOffset>
            </wp:positionH>
            <wp:positionV relativeFrom="paragraph">
              <wp:posOffset>891540</wp:posOffset>
            </wp:positionV>
            <wp:extent cx="408305" cy="408305"/>
            <wp:effectExtent l="0" t="0" r="0" b="0"/>
            <wp:wrapTight wrapText="bothSides">
              <wp:wrapPolygon edited="0">
                <wp:start x="10078" y="0"/>
                <wp:lineTo x="4031" y="3023"/>
                <wp:lineTo x="0" y="9070"/>
                <wp:lineTo x="0" y="20156"/>
                <wp:lineTo x="3023" y="20156"/>
                <wp:lineTo x="8062" y="20156"/>
                <wp:lineTo x="18140" y="17132"/>
                <wp:lineTo x="20156" y="9070"/>
                <wp:lineTo x="20156" y="0"/>
                <wp:lineTo x="1007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14:sizeRelH relativeFrom="page">
              <wp14:pctWidth>0</wp14:pctWidth>
            </wp14:sizeRelH>
            <wp14:sizeRelV relativeFrom="page">
              <wp14:pctHeight>0</wp14:pctHeight>
            </wp14:sizeRelV>
          </wp:anchor>
        </w:drawing>
      </w:r>
      <w:r w:rsidR="0085444A">
        <w:t>The EU programme “</w:t>
      </w:r>
      <w:r w:rsidR="0085444A" w:rsidRPr="0085444A">
        <w:t>Rights, Equality and Citizenship</w:t>
      </w:r>
      <w:r w:rsidR="0085444A">
        <w:t xml:space="preserve"> 2014-2020” aims at promoting non-discrimination through funding various types of activities including training activities and research.</w:t>
      </w:r>
      <w:r w:rsidR="0085444A">
        <w:rPr>
          <w:rStyle w:val="FootnoteReference"/>
        </w:rPr>
        <w:footnoteReference w:id="12"/>
      </w:r>
      <w:r w:rsidR="006667F3">
        <w:t xml:space="preserve"> </w:t>
      </w:r>
      <w:r w:rsidR="0085444A">
        <w:t xml:space="preserve">The </w:t>
      </w:r>
      <w:r w:rsidR="0085444A" w:rsidRPr="0085444A">
        <w:t>EU Programme for Employment and Social Innovation (EaSI)</w:t>
      </w:r>
      <w:r w:rsidR="0085444A">
        <w:t xml:space="preserve"> also aims at improving working conditions in the EU.</w:t>
      </w:r>
      <w:r w:rsidR="0085444A">
        <w:rPr>
          <w:rStyle w:val="FootnoteReference"/>
        </w:rPr>
        <w:footnoteReference w:id="13"/>
      </w:r>
    </w:p>
    <w:p w:rsidR="00283DF3" w:rsidRDefault="007F5F73" w:rsidP="00B53C06">
      <w:r>
        <w:t xml:space="preserve">Various </w:t>
      </w:r>
      <w:r w:rsidR="00283DF3">
        <w:t xml:space="preserve">EU policies aim at promoting </w:t>
      </w:r>
      <w:r w:rsidR="006667F3">
        <w:t xml:space="preserve">the </w:t>
      </w:r>
      <w:r w:rsidR="00283DF3">
        <w:t xml:space="preserve">inclusion of persons with disabilities. However, given the variety of definitions of disability applied in Member States, it is not always clear whether this also </w:t>
      </w:r>
      <w:r w:rsidR="006667F3">
        <w:t>includes</w:t>
      </w:r>
      <w:r w:rsidR="00283DF3">
        <w:t xml:space="preserve"> all patients with chronic </w:t>
      </w:r>
      <w:r w:rsidR="00285B1E">
        <w:t>and long</w:t>
      </w:r>
      <w:r w:rsidR="00DD617C">
        <w:t>-</w:t>
      </w:r>
      <w:r w:rsidR="00285B1E">
        <w:t>term conditions</w:t>
      </w:r>
      <w:r w:rsidR="00283DF3">
        <w:t>, creating a policy gap.</w:t>
      </w:r>
    </w:p>
    <w:p w:rsidR="008D2953" w:rsidRDefault="006C50E9" w:rsidP="008D2953">
      <w:pPr>
        <w:pStyle w:val="Heading1"/>
      </w:pPr>
      <w:r>
        <w:t>Discrimination</w:t>
      </w:r>
      <w:r w:rsidR="00620C67">
        <w:t xml:space="preserve"> and stigma in education</w:t>
      </w:r>
    </w:p>
    <w:p w:rsidR="008D2953" w:rsidRPr="008D2953" w:rsidRDefault="00B11F4E" w:rsidP="008D2953">
      <w:pPr>
        <w:pStyle w:val="Heading2"/>
      </w:pPr>
      <w:r>
        <w:t>At school and university</w:t>
      </w:r>
    </w:p>
    <w:p w:rsidR="00D25F18" w:rsidRDefault="00D25F18" w:rsidP="00005589">
      <w:r>
        <w:t xml:space="preserve">As </w:t>
      </w:r>
      <w:r w:rsidR="003075E2">
        <w:t xml:space="preserve">the </w:t>
      </w:r>
      <w:r>
        <w:t xml:space="preserve">EPF EMPATHY seminar with young patients </w:t>
      </w:r>
      <w:r w:rsidR="003075E2">
        <w:t>h</w:t>
      </w:r>
      <w:r>
        <w:t xml:space="preserve">as highlighted, patients’ integration into the workplace </w:t>
      </w:r>
      <w:r w:rsidR="0088780B">
        <w:t>is also linked to education.</w:t>
      </w:r>
      <w:r>
        <w:t xml:space="preserve"> </w:t>
      </w:r>
    </w:p>
    <w:p w:rsidR="00D25F18" w:rsidRDefault="00D25F18" w:rsidP="00005589">
      <w:r>
        <w:t>Young people with chronic diseases</w:t>
      </w:r>
      <w:r w:rsidR="001F0D2E">
        <w:t xml:space="preserve"> can</w:t>
      </w:r>
      <w:r>
        <w:t xml:space="preserve"> face various issues within the educational system. The effect of chronic conditions is not only medical</w:t>
      </w:r>
      <w:r w:rsidR="00F13BB1">
        <w:t>;</w:t>
      </w:r>
      <w:r>
        <w:t xml:space="preserve"> it may affect a patients’ academic performance, their emotional and physical development, and relationship with their peers.</w:t>
      </w:r>
      <w:r w:rsidR="003A6C2B">
        <w:t xml:space="preserve"> It may cause anxiety and stress, cognitive impairments (sometimes also as a side effect of medication)</w:t>
      </w:r>
      <w:r w:rsidR="000C0DBC">
        <w:t>, fatigue</w:t>
      </w:r>
      <w:r w:rsidR="003A6C2B">
        <w:t xml:space="preserve">, pain, </w:t>
      </w:r>
      <w:r w:rsidR="007F5F73">
        <w:t xml:space="preserve">and </w:t>
      </w:r>
      <w:r w:rsidR="003A6C2B">
        <w:t>restlessness.</w:t>
      </w:r>
      <w:r w:rsidR="008A1EC7">
        <w:rPr>
          <w:rStyle w:val="FootnoteReference"/>
        </w:rPr>
        <w:footnoteReference w:id="14"/>
      </w:r>
      <w:r w:rsidR="003A6C2B">
        <w:t xml:space="preserve"> These issues </w:t>
      </w:r>
      <w:r w:rsidR="001F0D2E">
        <w:t xml:space="preserve">are </w:t>
      </w:r>
      <w:r w:rsidR="00283DF3">
        <w:t>often</w:t>
      </w:r>
      <w:r w:rsidR="003A6C2B">
        <w:t xml:space="preserve"> overlooked by staff in educational institutions</w:t>
      </w:r>
      <w:r w:rsidR="00395672">
        <w:t xml:space="preserve"> (from school to university)</w:t>
      </w:r>
      <w:r w:rsidR="003A6C2B">
        <w:t>.</w:t>
      </w:r>
      <w:r w:rsidR="008A1EC7">
        <w:rPr>
          <w:rStyle w:val="FootnoteReference"/>
        </w:rPr>
        <w:footnoteReference w:id="15"/>
      </w:r>
    </w:p>
    <w:p w:rsidR="00D25F18" w:rsidRDefault="00D25F18" w:rsidP="00005589">
      <w:r>
        <w:t xml:space="preserve">The first issue which was raised at </w:t>
      </w:r>
      <w:r w:rsidR="00DE54FE">
        <w:t>the EMPATHY seminar</w:t>
      </w:r>
      <w:r>
        <w:t xml:space="preserve"> is that patients may </w:t>
      </w:r>
      <w:r w:rsidRPr="001C28C5">
        <w:t>miss courses</w:t>
      </w:r>
      <w:r>
        <w:t xml:space="preserve"> because of their disease, medical appointment</w:t>
      </w:r>
      <w:r w:rsidR="00F13BB1">
        <w:t>s</w:t>
      </w:r>
      <w:r>
        <w:t xml:space="preserve"> or treatment.</w:t>
      </w:r>
      <w:r w:rsidRPr="00D25F18">
        <w:t xml:space="preserve"> </w:t>
      </w:r>
      <w:r>
        <w:t xml:space="preserve">School attendance is often an issue for young patients with chronic diseases, and </w:t>
      </w:r>
      <w:r w:rsidR="00F13BB1">
        <w:t>this</w:t>
      </w:r>
      <w:r>
        <w:t xml:space="preserve"> is not always understood by the school/university staff.  </w:t>
      </w:r>
      <w:r w:rsidR="00AD2329">
        <w:t>Absences</w:t>
      </w:r>
      <w:r w:rsidR="009435AF">
        <w:t xml:space="preserve"> can</w:t>
      </w:r>
      <w:r>
        <w:t xml:space="preserve"> depend of the severity of the disease, and in many chronic conditions, symptoms are fluctuating.</w:t>
      </w:r>
      <w:r w:rsidR="001F0D2E" w:rsidRPr="001F0D2E">
        <w:t xml:space="preserve"> Attendance may affect students’ ability to pass a course, which</w:t>
      </w:r>
      <w:r w:rsidR="008248FE">
        <w:t xml:space="preserve"> can</w:t>
      </w:r>
      <w:r w:rsidR="001F0D2E" w:rsidRPr="001F0D2E">
        <w:t xml:space="preserve"> place patients with chronic diseases at a disadvantage.</w:t>
      </w:r>
      <w:r>
        <w:t xml:space="preserve"> In addition</w:t>
      </w:r>
      <w:r w:rsidR="00AD2329">
        <w:t>,</w:t>
      </w:r>
      <w:r>
        <w:t xml:space="preserve"> patients may be affected by side effects of treatment. They </w:t>
      </w:r>
      <w:r w:rsidR="008248FE">
        <w:t xml:space="preserve">may </w:t>
      </w:r>
      <w:r>
        <w:t xml:space="preserve">also experience psychological issues as a result of living with </w:t>
      </w:r>
      <w:r w:rsidR="004E207D">
        <w:t xml:space="preserve">and managing </w:t>
      </w:r>
      <w:r w:rsidR="004E207D">
        <w:lastRenderedPageBreak/>
        <w:t>their condition</w:t>
      </w:r>
      <w:r>
        <w:t>.</w:t>
      </w:r>
      <w:r w:rsidR="008A1EC7">
        <w:t xml:space="preserve">  </w:t>
      </w:r>
      <w:r>
        <w:t xml:space="preserve">When the illness is invisible or </w:t>
      </w:r>
      <w:r w:rsidR="00E72849">
        <w:t>changing</w:t>
      </w:r>
      <w:r>
        <w:t>, patients ma</w:t>
      </w:r>
      <w:r w:rsidR="000C0DBC">
        <w:t xml:space="preserve">y sometimes experience stigma and may even be </w:t>
      </w:r>
      <w:r>
        <w:t xml:space="preserve">accused </w:t>
      </w:r>
      <w:r w:rsidR="000C0DBC">
        <w:t>of</w:t>
      </w:r>
      <w:r>
        <w:t xml:space="preserve"> </w:t>
      </w:r>
      <w:r w:rsidR="00AD2329">
        <w:t>exploiting</w:t>
      </w:r>
      <w:r w:rsidR="00B11F4E">
        <w:t xml:space="preserve"> their conditions by their peer</w:t>
      </w:r>
      <w:r w:rsidR="00336FB9">
        <w:t>s</w:t>
      </w:r>
      <w:r w:rsidR="00B11F4E">
        <w:t xml:space="preserve"> or even staff.</w:t>
      </w:r>
      <w:r w:rsidR="00B11F4E">
        <w:rPr>
          <w:rStyle w:val="FootnoteReference"/>
        </w:rPr>
        <w:footnoteReference w:id="16"/>
      </w:r>
    </w:p>
    <w:p w:rsidR="00F07B5A" w:rsidRDefault="007F31A0" w:rsidP="00005589">
      <w:r>
        <w:t>In order to be able to follow their curricula whether at school, or later on at university, patients’ may need ada</w:t>
      </w:r>
      <w:r w:rsidR="003E3EC9">
        <w:t>ptatio</w:t>
      </w:r>
      <w:r w:rsidR="00336FB9">
        <w:t>n</w:t>
      </w:r>
      <w:r w:rsidR="00AD2329">
        <w:t>s</w:t>
      </w:r>
      <w:r w:rsidR="003E3EC9">
        <w:t xml:space="preserve"> to their timetable and studies </w:t>
      </w:r>
      <w:r>
        <w:t xml:space="preserve">that are not always available. </w:t>
      </w:r>
      <w:r w:rsidR="007F4AEF">
        <w:t>They</w:t>
      </w:r>
      <w:r w:rsidR="007F4AEF" w:rsidRPr="00690EDF">
        <w:t xml:space="preserve"> may need adaptation</w:t>
      </w:r>
      <w:r w:rsidR="007F4AEF">
        <w:t xml:space="preserve">s for exam timetables for the same reasons. They </w:t>
      </w:r>
      <w:r w:rsidR="003E3EC9">
        <w:t>sometimes also need</w:t>
      </w:r>
      <w:r w:rsidR="007F4AEF" w:rsidRPr="00690EDF">
        <w:t xml:space="preserve"> adapt</w:t>
      </w:r>
      <w:r w:rsidR="007F4AEF">
        <w:t>ation to</w:t>
      </w:r>
      <w:r w:rsidR="007F4AEF" w:rsidRPr="00690EDF">
        <w:t xml:space="preserve"> exam conditions </w:t>
      </w:r>
      <w:r w:rsidR="007F4AEF">
        <w:t>(e.g. access to the bathroom, possibility to bring food during an exam)</w:t>
      </w:r>
      <w:r w:rsidR="008A1EC7">
        <w:t>. However</w:t>
      </w:r>
      <w:r w:rsidR="00336FB9">
        <w:t>,</w:t>
      </w:r>
      <w:r w:rsidR="008A1EC7">
        <w:t xml:space="preserve"> they can</w:t>
      </w:r>
      <w:r w:rsidR="007F4AEF">
        <w:t xml:space="preserve"> </w:t>
      </w:r>
      <w:r w:rsidR="007F4AEF" w:rsidRPr="00690EDF">
        <w:t>face miscomprehension from teachers and examiners and rigid administrative rules</w:t>
      </w:r>
      <w:r w:rsidR="007F4AEF">
        <w:t>.</w:t>
      </w:r>
      <w:r w:rsidR="00B11F4E">
        <w:t xml:space="preserve"> </w:t>
      </w:r>
    </w:p>
    <w:p w:rsidR="00F07B5A" w:rsidRDefault="007F4AEF" w:rsidP="00005589">
      <w:r>
        <w:t xml:space="preserve">Because of issues </w:t>
      </w:r>
      <w:r w:rsidR="00AD2329">
        <w:t>of</w:t>
      </w:r>
      <w:r>
        <w:t xml:space="preserve"> treatment availability or costs in some countries, and lack of clear information about cross-border healthcare, some young patients may be prevented from benefiting from the EU exchange programme ERASMUS. </w:t>
      </w:r>
    </w:p>
    <w:p w:rsidR="00EA39B0" w:rsidRPr="007E3998" w:rsidRDefault="007F4AEF" w:rsidP="00005589">
      <w:r>
        <w:t xml:space="preserve">Young patients </w:t>
      </w:r>
      <w:r w:rsidR="00AD2329">
        <w:t xml:space="preserve">have </w:t>
      </w:r>
      <w:r>
        <w:t xml:space="preserve">highlighted that </w:t>
      </w:r>
      <w:r w:rsidR="00B11F4E">
        <w:t>structural</w:t>
      </w:r>
      <w:r>
        <w:t xml:space="preserve"> discriminations </w:t>
      </w:r>
      <w:r w:rsidR="007F31A0">
        <w:t>and stigma</w:t>
      </w:r>
      <w:r w:rsidR="008248FE">
        <w:t xml:space="preserve"> can</w:t>
      </w:r>
      <w:r w:rsidR="007F31A0">
        <w:t xml:space="preserve"> </w:t>
      </w:r>
      <w:r>
        <w:t>affect their academic success, their professional orientation, and their future ability to obtain a job, as well as their future income.</w:t>
      </w:r>
      <w:r w:rsidR="00B11F4E">
        <w:t xml:space="preserve"> Research also shows</w:t>
      </w:r>
      <w:r w:rsidR="000C2EA9">
        <w:t xml:space="preserve"> that poor health can be a predicator for decreased educational attainment, but that this can be mitigated with </w:t>
      </w:r>
      <w:r w:rsidR="00643B80">
        <w:t>appropriate</w:t>
      </w:r>
      <w:r w:rsidR="000C2EA9">
        <w:t xml:space="preserve"> support.</w:t>
      </w:r>
      <w:r w:rsidR="000C2EA9">
        <w:rPr>
          <w:rStyle w:val="FootnoteReference"/>
        </w:rPr>
        <w:footnoteReference w:id="17"/>
      </w:r>
      <w:r w:rsidR="003A6C2B">
        <w:t xml:space="preserve"> </w:t>
      </w:r>
    </w:p>
    <w:p w:rsidR="00EA39B0" w:rsidRPr="003E3EC9" w:rsidRDefault="00EA39B0" w:rsidP="003E3EC9">
      <w:pPr>
        <w:spacing w:after="0" w:line="240" w:lineRule="auto"/>
        <w:rPr>
          <w:b/>
          <w:color w:val="00B050"/>
        </w:rPr>
      </w:pPr>
      <w:r w:rsidRPr="003E3EC9">
        <w:rPr>
          <w:b/>
          <w:color w:val="00B050"/>
        </w:rPr>
        <w:t>Questions to EPF Members</w:t>
      </w:r>
    </w:p>
    <w:p w:rsidR="00EA39B0" w:rsidRPr="003E3EC9" w:rsidRDefault="001F0D2E" w:rsidP="007E6DBA">
      <w:pPr>
        <w:pStyle w:val="ListParagraph"/>
        <w:numPr>
          <w:ilvl w:val="0"/>
          <w:numId w:val="9"/>
        </w:numPr>
        <w:spacing w:line="240" w:lineRule="auto"/>
      </w:pPr>
      <w:r w:rsidRPr="003E3EC9">
        <w:t>Does this reflect your experience/ the experience of young patients</w:t>
      </w:r>
      <w:r w:rsidR="003A0419">
        <w:t xml:space="preserve"> in your country</w:t>
      </w:r>
      <w:r w:rsidR="008248FE">
        <w:t xml:space="preserve"> or </w:t>
      </w:r>
      <w:r w:rsidR="003A0419">
        <w:t>disease area</w:t>
      </w:r>
      <w:r w:rsidR="00EA39B0" w:rsidRPr="003E3EC9">
        <w:t>?</w:t>
      </w:r>
    </w:p>
    <w:p w:rsidR="00EA39B0" w:rsidRPr="003E3EC9" w:rsidRDefault="00EA39B0" w:rsidP="007E6DBA">
      <w:pPr>
        <w:pStyle w:val="ListParagraph"/>
        <w:numPr>
          <w:ilvl w:val="0"/>
          <w:numId w:val="9"/>
        </w:numPr>
        <w:spacing w:line="240" w:lineRule="auto"/>
      </w:pPr>
      <w:r w:rsidRPr="003E3EC9">
        <w:t xml:space="preserve">Do you have positive </w:t>
      </w:r>
      <w:r w:rsidR="003A0419">
        <w:t xml:space="preserve">examples </w:t>
      </w:r>
      <w:r w:rsidRPr="003E3EC9">
        <w:t>or good practice to share regard</w:t>
      </w:r>
      <w:r w:rsidR="00336FB9">
        <w:t>ing</w:t>
      </w:r>
      <w:r w:rsidRPr="003E3EC9">
        <w:t xml:space="preserve"> support</w:t>
      </w:r>
      <w:r w:rsidR="00403797" w:rsidRPr="003E3EC9">
        <w:t xml:space="preserve"> schemes</w:t>
      </w:r>
      <w:r w:rsidRPr="003E3EC9">
        <w:t xml:space="preserve"> for young patients at school or university?</w:t>
      </w:r>
    </w:p>
    <w:p w:rsidR="00B11F4E" w:rsidRDefault="00B11F4E" w:rsidP="00B11F4E">
      <w:pPr>
        <w:pStyle w:val="Heading2"/>
      </w:pPr>
      <w:r>
        <w:t>Transition towards</w:t>
      </w:r>
      <w:r w:rsidR="00DE170F">
        <w:t xml:space="preserve"> </w:t>
      </w:r>
      <w:r>
        <w:t>Employment</w:t>
      </w:r>
    </w:p>
    <w:p w:rsidR="003A6C2B" w:rsidRDefault="0025210B" w:rsidP="00061EED">
      <w:r>
        <w:t>Young people with chronic an</w:t>
      </w:r>
      <w:r w:rsidR="007D54C8">
        <w:t>d/or long</w:t>
      </w:r>
      <w:r w:rsidR="00DD617C">
        <w:t>-</w:t>
      </w:r>
      <w:r w:rsidR="007D54C8">
        <w:t>term conditions face specific d</w:t>
      </w:r>
      <w:r>
        <w:t>ifficulties in accessing employment</w:t>
      </w:r>
      <w:r w:rsidR="007D54C8">
        <w:t xml:space="preserve"> yet they are very often not targeted in active inclusions policies, </w:t>
      </w:r>
      <w:r w:rsidR="00643B80">
        <w:t>or in</w:t>
      </w:r>
      <w:r w:rsidR="007D54C8">
        <w:t xml:space="preserve"> policies aimed at promoting </w:t>
      </w:r>
      <w:r w:rsidR="00643B80">
        <w:t>youth employment</w:t>
      </w:r>
      <w:r w:rsidR="007D54C8">
        <w:t>, at EU or national level.</w:t>
      </w:r>
      <w:r>
        <w:t xml:space="preserve"> </w:t>
      </w:r>
      <w:r w:rsidR="00DE170F">
        <w:t xml:space="preserve"> </w:t>
      </w:r>
      <w:r w:rsidR="003A6C2B">
        <w:t>They may also be absent f</w:t>
      </w:r>
      <w:r w:rsidR="00AD2329">
        <w:t>rom</w:t>
      </w:r>
      <w:r w:rsidR="003A6C2B">
        <w:t xml:space="preserve"> statistics </w:t>
      </w:r>
      <w:r w:rsidR="001F7C28">
        <w:t>as employment</w:t>
      </w:r>
      <w:r w:rsidR="003A6C2B">
        <w:t xml:space="preserve"> statistics </w:t>
      </w:r>
      <w:r w:rsidR="008248FE">
        <w:t>do not account</w:t>
      </w:r>
      <w:r w:rsidR="003A6C2B">
        <w:t xml:space="preserve"> for health status.</w:t>
      </w:r>
      <w:r w:rsidR="003A6C2B">
        <w:rPr>
          <w:rStyle w:val="FootnoteReference"/>
        </w:rPr>
        <w:footnoteReference w:id="18"/>
      </w:r>
    </w:p>
    <w:p w:rsidR="007D54C8" w:rsidRDefault="00DE170F" w:rsidP="00061EED">
      <w:r>
        <w:t>Unemployment from a young age is kno</w:t>
      </w:r>
      <w:r w:rsidR="003A6C2B">
        <w:t>wn to have long lasting effects.</w:t>
      </w:r>
      <w:r w:rsidR="006233A6" w:rsidRPr="006233A6">
        <w:t xml:space="preserve"> Patients with chronic diseases are more likely to leave education early or with low qualification</w:t>
      </w:r>
      <w:r w:rsidR="00AD5C68">
        <w:t>s</w:t>
      </w:r>
      <w:r w:rsidR="006233A6">
        <w:t>.</w:t>
      </w:r>
      <w:r w:rsidR="007E3998">
        <w:rPr>
          <w:rStyle w:val="FootnoteReference"/>
        </w:rPr>
        <w:footnoteReference w:id="19"/>
      </w:r>
      <w:r>
        <w:t xml:space="preserve">In addition, young patients may scale down their ambitions or career goals, or change path all together as a result of their conditions. </w:t>
      </w:r>
    </w:p>
    <w:p w:rsidR="00625258" w:rsidRPr="00AD5C68" w:rsidRDefault="007F31A0" w:rsidP="00AD5C68">
      <w:r>
        <w:t xml:space="preserve">Young patients in the EMPATHY seminar have also </w:t>
      </w:r>
      <w:r w:rsidR="0013099A">
        <w:t>explained that</w:t>
      </w:r>
      <w:r>
        <w:t xml:space="preserve"> growing up and learning to manage a chronic condition, sometimes from a young age, may also help young people to develop importan</w:t>
      </w:r>
      <w:r w:rsidR="00AD5C68">
        <w:t xml:space="preserve">t qualities such as resilience and ability to take </w:t>
      </w:r>
      <w:r w:rsidR="00AD2329">
        <w:t>on</w:t>
      </w:r>
      <w:r w:rsidR="00AD5C68">
        <w:t xml:space="preserve"> responsibilities.</w:t>
      </w:r>
    </w:p>
    <w:p w:rsidR="00237B95" w:rsidRPr="003E3EC9" w:rsidRDefault="00237B95" w:rsidP="00E72849">
      <w:pPr>
        <w:spacing w:after="0"/>
        <w:rPr>
          <w:b/>
          <w:color w:val="00B050"/>
        </w:rPr>
      </w:pPr>
      <w:r w:rsidRPr="003E3EC9">
        <w:rPr>
          <w:b/>
          <w:color w:val="00B050"/>
        </w:rPr>
        <w:t>Question to EPF members</w:t>
      </w:r>
    </w:p>
    <w:p w:rsidR="00237B95" w:rsidRPr="003E3EC9" w:rsidRDefault="00237B95" w:rsidP="007E6DBA">
      <w:pPr>
        <w:pStyle w:val="ListParagraph"/>
        <w:numPr>
          <w:ilvl w:val="0"/>
          <w:numId w:val="10"/>
        </w:numPr>
      </w:pPr>
      <w:r w:rsidRPr="003E3EC9">
        <w:lastRenderedPageBreak/>
        <w:t>Who should be in charge of supporting young patients in their transition</w:t>
      </w:r>
      <w:r w:rsidR="00336FB9">
        <w:t>,</w:t>
      </w:r>
      <w:r w:rsidR="00E72849" w:rsidRPr="003E3EC9">
        <w:t xml:space="preserve"> e.g. organising workshops and events</w:t>
      </w:r>
      <w:r w:rsidR="00336FB9">
        <w:t xml:space="preserve"> and</w:t>
      </w:r>
      <w:r w:rsidR="00E72849" w:rsidRPr="003E3EC9">
        <w:t xml:space="preserve"> publishing supporting tool</w:t>
      </w:r>
      <w:r w:rsidR="005A122E" w:rsidRPr="003E3EC9">
        <w:t>s</w:t>
      </w:r>
      <w:r w:rsidR="00E72849" w:rsidRPr="003E3EC9">
        <w:t>? Patient orga</w:t>
      </w:r>
      <w:r w:rsidR="005A122E" w:rsidRPr="003E3EC9">
        <w:t>nisations, employers</w:t>
      </w:r>
      <w:r w:rsidR="00E72849" w:rsidRPr="003E3EC9">
        <w:t>,</w:t>
      </w:r>
      <w:r w:rsidR="005A122E" w:rsidRPr="003E3EC9">
        <w:t xml:space="preserve"> ministries of education,</w:t>
      </w:r>
      <w:r w:rsidR="00E72849" w:rsidRPr="003E3EC9">
        <w:t xml:space="preserve"> universities, other?</w:t>
      </w:r>
    </w:p>
    <w:p w:rsidR="00AD5C68" w:rsidRPr="003E3EC9" w:rsidRDefault="00AD5C68" w:rsidP="007E6DBA">
      <w:pPr>
        <w:pStyle w:val="ListParagraph"/>
        <w:numPr>
          <w:ilvl w:val="0"/>
          <w:numId w:val="10"/>
        </w:numPr>
      </w:pPr>
      <w:r w:rsidRPr="003E3EC9">
        <w:t xml:space="preserve">What key recommendations should we make to decision </w:t>
      </w:r>
      <w:r w:rsidR="00625258" w:rsidRPr="003E3EC9">
        <w:t>makers and</w:t>
      </w:r>
      <w:r w:rsidRPr="003E3EC9">
        <w:t xml:space="preserve"> stakeholders at EU and/or national level to ease the transition of young patients between education and employment?</w:t>
      </w:r>
    </w:p>
    <w:p w:rsidR="00620C67" w:rsidRDefault="00DE3758" w:rsidP="00DE3758">
      <w:pPr>
        <w:pStyle w:val="Heading1"/>
      </w:pPr>
      <w:r>
        <w:t>Dis</w:t>
      </w:r>
      <w:r w:rsidRPr="00DE3758">
        <w:t>crimination, stigma and other barriers patients face in the workplace</w:t>
      </w:r>
    </w:p>
    <w:p w:rsidR="006233A6" w:rsidRPr="00FE1D46" w:rsidRDefault="00DE3758" w:rsidP="006233A6">
      <w:pPr>
        <w:pStyle w:val="Heading2"/>
      </w:pPr>
      <w:r>
        <w:t>D</w:t>
      </w:r>
      <w:r w:rsidRPr="00DE3758">
        <w:t>ifficulties find</w:t>
      </w:r>
      <w:r w:rsidR="000C48E0">
        <w:t>ing</w:t>
      </w:r>
      <w:r w:rsidRPr="00DE3758">
        <w:t xml:space="preserve"> a job / interview stage</w:t>
      </w:r>
    </w:p>
    <w:p w:rsidR="00E90B4C" w:rsidRDefault="00E90B4C" w:rsidP="006233A6">
      <w:pPr>
        <w:rPr>
          <w:b/>
          <w:color w:val="00B050"/>
        </w:rPr>
      </w:pPr>
      <w:r>
        <w:t xml:space="preserve">Patients can face discrimination during interviews if they disclose their condition. They may also be discriminated </w:t>
      </w:r>
      <w:r w:rsidR="000C48E0">
        <w:t xml:space="preserve">against </w:t>
      </w:r>
      <w:r>
        <w:t>throug</w:t>
      </w:r>
      <w:r w:rsidR="00625258">
        <w:t>h mandatory med</w:t>
      </w:r>
      <w:r w:rsidR="00671E42">
        <w:t>ical examination.  For example</w:t>
      </w:r>
      <w:r w:rsidR="000C48E0">
        <w:t>,</w:t>
      </w:r>
      <w:r w:rsidR="00671E42">
        <w:t xml:space="preserve"> a</w:t>
      </w:r>
      <w:r w:rsidR="00625258">
        <w:t xml:space="preserve">t the EMPATHY seminar </w:t>
      </w:r>
      <w:r>
        <w:t xml:space="preserve">a patient with HIV explained </w:t>
      </w:r>
      <w:r w:rsidR="000C48E0">
        <w:t xml:space="preserve">that </w:t>
      </w:r>
      <w:r>
        <w:t xml:space="preserve">he could not practice his profession due to the need for a certificate </w:t>
      </w:r>
      <w:r w:rsidR="000C48E0">
        <w:t>that</w:t>
      </w:r>
      <w:r>
        <w:t xml:space="preserve"> medic</w:t>
      </w:r>
      <w:r w:rsidR="00625258">
        <w:t xml:space="preserve">al examiners refused to provide. </w:t>
      </w:r>
      <w:r w:rsidR="003A0419">
        <w:t>Rules that don’t allow patients</w:t>
      </w:r>
      <w:r>
        <w:t xml:space="preserve"> to access certain jobs </w:t>
      </w:r>
      <w:r w:rsidR="00625258">
        <w:t>are</w:t>
      </w:r>
      <w:r>
        <w:t xml:space="preserve"> not always medically </w:t>
      </w:r>
      <w:r w:rsidR="00625258">
        <w:t xml:space="preserve">justified.  Healthcare professionals may also have a protective attitude, as another patient </w:t>
      </w:r>
      <w:r w:rsidR="003A0419">
        <w:t>highlighted at the seminar. S</w:t>
      </w:r>
      <w:r w:rsidR="00625258">
        <w:t xml:space="preserve">he explained </w:t>
      </w:r>
      <w:r w:rsidR="00BB7269">
        <w:t xml:space="preserve">that </w:t>
      </w:r>
      <w:r w:rsidR="00625258">
        <w:t>she was able to perform a job which her doctor had originally advised against. They</w:t>
      </w:r>
      <w:r>
        <w:t xml:space="preserve"> also may face stigma from society </w:t>
      </w:r>
      <w:r w:rsidR="00BB7269">
        <w:t xml:space="preserve">from the misconception </w:t>
      </w:r>
      <w:r>
        <w:t>that they are unable to work becaus</w:t>
      </w:r>
      <w:r w:rsidR="009F2D86">
        <w:t>e they have a chronic condition whereas patients may be able to work, sometimes with minor adjustments. Conditions may affect individual patients differently and may have different degrees of severity.</w:t>
      </w:r>
    </w:p>
    <w:p w:rsidR="005A122E" w:rsidRPr="00FA5DA5" w:rsidRDefault="00B301DD" w:rsidP="007D37DB">
      <w:pPr>
        <w:tabs>
          <w:tab w:val="center" w:pos="4513"/>
        </w:tabs>
        <w:spacing w:after="0"/>
        <w:rPr>
          <w:b/>
          <w:color w:val="00B050"/>
        </w:rPr>
      </w:pPr>
      <w:r w:rsidRPr="00FA5DA5">
        <w:rPr>
          <w:b/>
          <w:color w:val="00B050"/>
        </w:rPr>
        <w:t>Question</w:t>
      </w:r>
      <w:r w:rsidR="005A122E" w:rsidRPr="00FA5DA5">
        <w:rPr>
          <w:b/>
          <w:color w:val="00B050"/>
        </w:rPr>
        <w:t>s to EPF members:</w:t>
      </w:r>
      <w:r w:rsidR="007D37DB">
        <w:rPr>
          <w:b/>
          <w:color w:val="00B050"/>
        </w:rPr>
        <w:tab/>
      </w:r>
    </w:p>
    <w:p w:rsidR="00FA5DA5" w:rsidRPr="00FA5DA5" w:rsidRDefault="00FA5DA5" w:rsidP="007E6DBA">
      <w:pPr>
        <w:pStyle w:val="ListParagraph"/>
        <w:numPr>
          <w:ilvl w:val="0"/>
          <w:numId w:val="11"/>
        </w:numPr>
        <w:spacing w:after="0"/>
      </w:pPr>
      <w:r w:rsidRPr="00FA5DA5">
        <w:t xml:space="preserve">What political </w:t>
      </w:r>
      <w:r w:rsidR="00CF4DD9">
        <w:t xml:space="preserve">or </w:t>
      </w:r>
      <w:r w:rsidRPr="00FA5DA5">
        <w:t>legal incentives need to be established to encourage employment of people with chronic diseases: quotas/legislation/compensation schemes for employers/ campaigns to raise awareness/other?</w:t>
      </w:r>
    </w:p>
    <w:p w:rsidR="00DE3758" w:rsidRDefault="00DE3758" w:rsidP="00645FF5">
      <w:pPr>
        <w:pStyle w:val="Heading2"/>
      </w:pPr>
      <w:r w:rsidRPr="00D957B7">
        <w:t xml:space="preserve">working with </w:t>
      </w:r>
      <w:r w:rsidR="006C310C">
        <w:t>A CHRONIC CONDITION</w:t>
      </w:r>
    </w:p>
    <w:p w:rsidR="00F17E7B" w:rsidRDefault="00F17E7B" w:rsidP="00061EED">
      <w:pPr>
        <w:spacing w:after="0"/>
      </w:pPr>
      <w:r>
        <w:t>While some patients cannot continue their professional activity due to their health</w:t>
      </w:r>
      <w:r w:rsidR="00061EED">
        <w:t xml:space="preserve"> </w:t>
      </w:r>
      <w:r>
        <w:t xml:space="preserve">condition, many patients with chronic diseases continue </w:t>
      </w:r>
      <w:r w:rsidR="00061EED">
        <w:t xml:space="preserve">working, or wish to do so. With </w:t>
      </w:r>
      <w:r>
        <w:t xml:space="preserve">adequate support they can </w:t>
      </w:r>
      <w:r w:rsidR="00164D73">
        <w:t>work,</w:t>
      </w:r>
      <w:r>
        <w:t xml:space="preserve"> result</w:t>
      </w:r>
      <w:r w:rsidR="00164D73">
        <w:t>ing</w:t>
      </w:r>
      <w:r>
        <w:t xml:space="preserve"> in a hugely improved </w:t>
      </w:r>
      <w:r w:rsidR="00061EED">
        <w:t xml:space="preserve">quality of life </w:t>
      </w:r>
      <w:r w:rsidR="00164D73">
        <w:t xml:space="preserve">that minimises </w:t>
      </w:r>
      <w:r>
        <w:t>the negative financial impact of chronic illness and the risk o</w:t>
      </w:r>
      <w:r w:rsidR="00061EED">
        <w:t>f social exclusion.</w:t>
      </w:r>
      <w:r w:rsidR="00F637F9">
        <w:t xml:space="preserve">  </w:t>
      </w:r>
      <w:r w:rsidR="00CF4DD9">
        <w:t>F</w:t>
      </w:r>
      <w:r w:rsidR="00CF4DD9">
        <w:t>or patients</w:t>
      </w:r>
      <w:r w:rsidR="00CF4DD9">
        <w:t>,</w:t>
      </w:r>
      <w:r w:rsidR="00CF4DD9">
        <w:t xml:space="preserve"> </w:t>
      </w:r>
      <w:r w:rsidR="00CF4DD9">
        <w:t>t</w:t>
      </w:r>
      <w:r w:rsidR="00690F4A">
        <w:t>he value of work goes beyo</w:t>
      </w:r>
      <w:r w:rsidR="008A1EC7">
        <w:t>nd providing financial stabilities</w:t>
      </w:r>
      <w:r w:rsidR="006F5DA8">
        <w:t xml:space="preserve"> -</w:t>
      </w:r>
      <w:r w:rsidR="00690F4A">
        <w:t xml:space="preserve"> </w:t>
      </w:r>
      <w:r w:rsidR="006F5DA8">
        <w:t>i</w:t>
      </w:r>
      <w:r w:rsidR="00690F4A">
        <w:t>t contribute</w:t>
      </w:r>
      <w:r w:rsidR="008A1EC7">
        <w:t>s</w:t>
      </w:r>
      <w:r w:rsidR="00690F4A">
        <w:t xml:space="preserve"> to</w:t>
      </w:r>
      <w:r w:rsidR="00140EA3">
        <w:t xml:space="preserve"> social inclusion and </w:t>
      </w:r>
      <w:r w:rsidR="00694A5D">
        <w:t>well-being</w:t>
      </w:r>
      <w:r w:rsidR="00140EA3">
        <w:t>.</w:t>
      </w:r>
    </w:p>
    <w:p w:rsidR="0095593C" w:rsidRDefault="001C28C5" w:rsidP="001C28C5">
      <w:pPr>
        <w:tabs>
          <w:tab w:val="left" w:pos="8025"/>
        </w:tabs>
        <w:spacing w:after="0"/>
      </w:pPr>
      <w:r>
        <w:tab/>
      </w:r>
    </w:p>
    <w:p w:rsidR="0095593C" w:rsidRDefault="0095593C" w:rsidP="00061EED">
      <w:pPr>
        <w:spacing w:after="0"/>
      </w:pPr>
      <w:r w:rsidRPr="0095593C">
        <w:t>In the workplace</w:t>
      </w:r>
      <w:r w:rsidR="004C481B">
        <w:t>,</w:t>
      </w:r>
      <w:r w:rsidRPr="0095593C">
        <w:t xml:space="preserve"> patients may face stigma and discriminatory attitudes from employers or colleagues such as </w:t>
      </w:r>
      <w:r w:rsidR="003A0419">
        <w:t xml:space="preserve">undue disclosure of their condition, </w:t>
      </w:r>
      <w:r w:rsidRPr="0095593C">
        <w:t>lack of support to go back to work after a sick leave, or even difficulties after a long-term absence (e.g</w:t>
      </w:r>
      <w:r w:rsidR="003A0419">
        <w:t>. some patients are “side-lined”</w:t>
      </w:r>
      <w:r>
        <w:t>).</w:t>
      </w:r>
      <w:r>
        <w:rPr>
          <w:rStyle w:val="FootnoteReference"/>
        </w:rPr>
        <w:footnoteReference w:id="20"/>
      </w:r>
      <w:r w:rsidR="0049452A">
        <w:t xml:space="preserve"> </w:t>
      </w:r>
      <w:r w:rsidR="008A1EC7">
        <w:t xml:space="preserve">The </w:t>
      </w:r>
      <w:r w:rsidR="008A1EC7">
        <w:lastRenderedPageBreak/>
        <w:t>Eurofound study on employment opportunities for people with chronic conditions</w:t>
      </w:r>
      <w:r w:rsidR="0049452A">
        <w:t xml:space="preserve"> show</w:t>
      </w:r>
      <w:r w:rsidR="002D4A57">
        <w:t>s</w:t>
      </w:r>
      <w:r w:rsidR="0049452A">
        <w:t xml:space="preserve"> </w:t>
      </w:r>
      <w:r w:rsidR="002D4A57">
        <w:t xml:space="preserve">that </w:t>
      </w:r>
      <w:r w:rsidR="0049452A">
        <w:t xml:space="preserve">they </w:t>
      </w:r>
      <w:r w:rsidR="008A1EC7">
        <w:t>may have</w:t>
      </w:r>
      <w:r w:rsidR="003A0419">
        <w:t xml:space="preserve"> more difficulties obtaining</w:t>
      </w:r>
      <w:r w:rsidR="0049452A">
        <w:t xml:space="preserve"> training opportunities and promotio</w:t>
      </w:r>
      <w:r w:rsidR="0049452A" w:rsidRPr="00005589">
        <w:t>n.</w:t>
      </w:r>
      <w:r w:rsidR="003A0419" w:rsidRPr="00005589">
        <w:rPr>
          <w:rStyle w:val="FootnoteReference"/>
        </w:rPr>
        <w:footnoteReference w:id="21"/>
      </w:r>
    </w:p>
    <w:p w:rsidR="00C067E8" w:rsidRDefault="00C067E8" w:rsidP="00061EED">
      <w:pPr>
        <w:spacing w:after="0"/>
      </w:pPr>
    </w:p>
    <w:p w:rsidR="0049452A" w:rsidRDefault="00C067E8" w:rsidP="00061EED">
      <w:pPr>
        <w:spacing w:after="0"/>
      </w:pPr>
      <w:r w:rsidRPr="00C067E8">
        <w:t xml:space="preserve">There is little awareness of the difficulties patients that remain at work encounter: combining health issues with professional preoccupations and </w:t>
      </w:r>
      <w:r w:rsidR="002B5C23">
        <w:t>schedule</w:t>
      </w:r>
      <w:r w:rsidRPr="00C067E8">
        <w:t>s can b</w:t>
      </w:r>
      <w:r w:rsidR="002B5C23">
        <w:t>e very</w:t>
      </w:r>
      <w:r w:rsidRPr="00C067E8">
        <w:t xml:space="preserve"> challeng</w:t>
      </w:r>
      <w:r w:rsidR="002B5C23">
        <w:t>ing</w:t>
      </w:r>
      <w:r>
        <w:t>. For example</w:t>
      </w:r>
      <w:r w:rsidR="00DB077E">
        <w:t>,</w:t>
      </w:r>
      <w:r>
        <w:t xml:space="preserve"> patients may need to take medical appointments during working hours</w:t>
      </w:r>
      <w:r w:rsidRPr="00C067E8">
        <w:t xml:space="preserve">. This can be worsened by symptoms such as pain, tiredness, or anxiety. Experiential knowledge shows that patients will first sacrifice their leisure, social and resting time to deal with health issues, which can lead to isolation and worsening of </w:t>
      </w:r>
      <w:r w:rsidR="003A0419" w:rsidRPr="00C067E8">
        <w:t>the</w:t>
      </w:r>
      <w:r w:rsidR="003A0419">
        <w:t xml:space="preserve">ir </w:t>
      </w:r>
      <w:r w:rsidR="003A0419" w:rsidRPr="00C067E8">
        <w:t>health</w:t>
      </w:r>
      <w:r w:rsidRPr="00C067E8">
        <w:t xml:space="preserve"> condition.</w:t>
      </w:r>
      <w:r>
        <w:rPr>
          <w:rStyle w:val="FootnoteReference"/>
        </w:rPr>
        <w:footnoteReference w:id="22"/>
      </w:r>
      <w:r w:rsidR="001C28C5">
        <w:t xml:space="preserve"> </w:t>
      </w:r>
    </w:p>
    <w:p w:rsidR="002D7709" w:rsidRDefault="001C28C5" w:rsidP="003A0419">
      <w:pPr>
        <w:tabs>
          <w:tab w:val="left" w:pos="2040"/>
          <w:tab w:val="left" w:pos="3750"/>
        </w:tabs>
        <w:spacing w:after="0"/>
      </w:pPr>
      <w:r>
        <w:tab/>
      </w:r>
      <w:r w:rsidR="003A0419">
        <w:tab/>
      </w:r>
    </w:p>
    <w:p w:rsidR="00FC513D" w:rsidRDefault="00FC513D" w:rsidP="00061EED">
      <w:pPr>
        <w:spacing w:after="0"/>
      </w:pPr>
      <w:r>
        <w:t>Cases</w:t>
      </w:r>
      <w:r w:rsidR="002D7709">
        <w:t xml:space="preserve"> of negative experience</w:t>
      </w:r>
      <w:r w:rsidR="00DB077E">
        <w:t>s</w:t>
      </w:r>
      <w:r w:rsidR="002D7709">
        <w:t xml:space="preserve"> in the workplace have been flagged in relation to cancer in </w:t>
      </w:r>
      <w:r>
        <w:t>France</w:t>
      </w:r>
      <w:r w:rsidR="00DB077E">
        <w:t>,</w:t>
      </w:r>
      <w:r w:rsidR="002D7709">
        <w:t xml:space="preserve"> for example.</w:t>
      </w:r>
      <w:r w:rsidR="002D7709">
        <w:rPr>
          <w:rStyle w:val="FootnoteReference"/>
        </w:rPr>
        <w:footnoteReference w:id="23"/>
      </w:r>
      <w:r w:rsidR="00285B1E">
        <w:t xml:space="preserve"> </w:t>
      </w:r>
      <w:r w:rsidR="00F637F9">
        <w:t>Experiences from patient organisations indicate</w:t>
      </w:r>
      <w:r w:rsidR="002D7709">
        <w:t xml:space="preserve"> </w:t>
      </w:r>
      <w:r w:rsidR="003A0419">
        <w:t>this can be an issue across chronic and long</w:t>
      </w:r>
      <w:r w:rsidR="002B5C23">
        <w:t>-</w:t>
      </w:r>
      <w:r w:rsidR="003A0419">
        <w:t>term conditions in the EU.</w:t>
      </w:r>
    </w:p>
    <w:p w:rsidR="00DE3758" w:rsidRDefault="00DC070B" w:rsidP="00645FF5">
      <w:pPr>
        <w:pStyle w:val="Heading3"/>
      </w:pPr>
      <w:r>
        <w:rPr>
          <w:noProof/>
          <w:lang w:eastAsia="en-GB"/>
        </w:rPr>
        <mc:AlternateContent>
          <mc:Choice Requires="wps">
            <w:drawing>
              <wp:anchor distT="0" distB="0" distL="114300" distR="114300" simplePos="0" relativeHeight="251676672" behindDoc="0" locked="0" layoutInCell="1" allowOverlap="1" wp14:anchorId="75A11861" wp14:editId="40314A48">
                <wp:simplePos x="0" y="0"/>
                <wp:positionH relativeFrom="margin">
                  <wp:posOffset>2560955</wp:posOffset>
                </wp:positionH>
                <wp:positionV relativeFrom="margin">
                  <wp:posOffset>3837940</wp:posOffset>
                </wp:positionV>
                <wp:extent cx="3133725" cy="2752725"/>
                <wp:effectExtent l="57150" t="38100" r="85725" b="104775"/>
                <wp:wrapSquare wrapText="bothSides"/>
                <wp:docPr id="14" name="Rounded Rectangle 14"/>
                <wp:cNvGraphicFramePr/>
                <a:graphic xmlns:a="http://schemas.openxmlformats.org/drawingml/2006/main">
                  <a:graphicData uri="http://schemas.microsoft.com/office/word/2010/wordprocessingShape">
                    <wps:wsp>
                      <wps:cNvSpPr/>
                      <wps:spPr>
                        <a:xfrm>
                          <a:off x="0" y="0"/>
                          <a:ext cx="3133725" cy="27527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248FE" w:rsidRPr="003E3EC9" w:rsidRDefault="008248FE" w:rsidP="00B87075">
                            <w:pPr>
                              <w:rPr>
                                <w:sz w:val="20"/>
                                <w:szCs w:val="20"/>
                              </w:rPr>
                            </w:pPr>
                            <w:r w:rsidRPr="003E3EC9">
                              <w:rPr>
                                <w:b/>
                                <w:sz w:val="20"/>
                                <w:szCs w:val="20"/>
                              </w:rPr>
                              <w:t>Did you know?</w:t>
                            </w:r>
                            <w:r w:rsidRPr="003E3EC9">
                              <w:rPr>
                                <w:sz w:val="20"/>
                                <w:szCs w:val="20"/>
                              </w:rPr>
                              <w:t xml:space="preserve"> In most Member States, patients are only protected by law on the ground of disability; therefore a key debate is whether their condition fits the definition of disability. </w:t>
                            </w:r>
                          </w:p>
                          <w:p w:rsidR="008248FE" w:rsidRPr="003E3EC9" w:rsidRDefault="008248FE" w:rsidP="00B87075">
                            <w:pPr>
                              <w:rPr>
                                <w:sz w:val="20"/>
                                <w:szCs w:val="20"/>
                              </w:rPr>
                            </w:pPr>
                            <w:r w:rsidRPr="003E3EC9">
                              <w:rPr>
                                <w:sz w:val="20"/>
                                <w:szCs w:val="20"/>
                              </w:rPr>
                              <w:t>However, in several Member States (Finland, France, Belgium, and Netherlands</w:t>
                            </w:r>
                            <w:proofErr w:type="gramStart"/>
                            <w:r w:rsidRPr="003E3EC9">
                              <w:rPr>
                                <w:sz w:val="20"/>
                                <w:szCs w:val="20"/>
                              </w:rPr>
                              <w:t>)  anti</w:t>
                            </w:r>
                            <w:proofErr w:type="gramEnd"/>
                            <w:r w:rsidRPr="003E3EC9">
                              <w:rPr>
                                <w:sz w:val="20"/>
                                <w:szCs w:val="20"/>
                              </w:rPr>
                              <w:t>-discrimination laws also protect from discrimination on the ground of health status/ chronic diseases.*</w:t>
                            </w:r>
                          </w:p>
                          <w:p w:rsidR="008248FE" w:rsidRDefault="008248FE" w:rsidP="00B87075">
                            <w:r>
                              <w:t>*</w:t>
                            </w:r>
                            <w:r w:rsidRPr="00B87075">
                              <w:t xml:space="preserve"> </w:t>
                            </w:r>
                            <w:r w:rsidRPr="00B87075">
                              <w:rPr>
                                <w:sz w:val="20"/>
                                <w:szCs w:val="20"/>
                              </w:rPr>
                              <w:t>Isabelle Chopin, Thien Uyen Do “Developing Anti-Discrimination law in the European Union” October 2012, pp11-13</w:t>
                            </w:r>
                          </w:p>
                          <w:p w:rsidR="008248FE" w:rsidRDefault="008248FE" w:rsidP="00B870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2" style="position:absolute;left:0;text-align:left;margin-left:201.65pt;margin-top:302.2pt;width:246.75pt;height:216.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8248FE" w:rsidRPr="003E3EC9" w:rsidRDefault="008248FE" w:rsidP="00B87075">
                      <w:pPr>
                        <w:rPr>
                          <w:sz w:val="20"/>
                          <w:szCs w:val="20"/>
                        </w:rPr>
                      </w:pPr>
                      <w:r w:rsidRPr="003E3EC9">
                        <w:rPr>
                          <w:b/>
                          <w:sz w:val="20"/>
                          <w:szCs w:val="20"/>
                        </w:rPr>
                        <w:t>Did you know?</w:t>
                      </w:r>
                      <w:r w:rsidRPr="003E3EC9">
                        <w:rPr>
                          <w:sz w:val="20"/>
                          <w:szCs w:val="20"/>
                        </w:rPr>
                        <w:t xml:space="preserve"> In most Member States, patients are only protected by law on the ground of disability; therefore a key debate is whether their condition fits the definition of disability. </w:t>
                      </w:r>
                    </w:p>
                    <w:p w:rsidR="008248FE" w:rsidRPr="003E3EC9" w:rsidRDefault="008248FE" w:rsidP="00B87075">
                      <w:pPr>
                        <w:rPr>
                          <w:sz w:val="20"/>
                          <w:szCs w:val="20"/>
                        </w:rPr>
                      </w:pPr>
                      <w:r w:rsidRPr="003E3EC9">
                        <w:rPr>
                          <w:sz w:val="20"/>
                          <w:szCs w:val="20"/>
                        </w:rPr>
                        <w:t>However, in several Member States (Finland, France, Belgium, and Netherlands</w:t>
                      </w:r>
                      <w:proofErr w:type="gramStart"/>
                      <w:r w:rsidRPr="003E3EC9">
                        <w:rPr>
                          <w:sz w:val="20"/>
                          <w:szCs w:val="20"/>
                        </w:rPr>
                        <w:t>)  anti</w:t>
                      </w:r>
                      <w:proofErr w:type="gramEnd"/>
                      <w:r w:rsidRPr="003E3EC9">
                        <w:rPr>
                          <w:sz w:val="20"/>
                          <w:szCs w:val="20"/>
                        </w:rPr>
                        <w:t>-discrimination laws also protect from discrimination on the ground of health status/ chronic diseases.*</w:t>
                      </w:r>
                    </w:p>
                    <w:p w:rsidR="008248FE" w:rsidRDefault="008248FE" w:rsidP="00B87075">
                      <w:r>
                        <w:t>*</w:t>
                      </w:r>
                      <w:r w:rsidRPr="00B87075">
                        <w:t xml:space="preserve"> </w:t>
                      </w:r>
                      <w:r w:rsidRPr="00B87075">
                        <w:rPr>
                          <w:sz w:val="20"/>
                          <w:szCs w:val="20"/>
                        </w:rPr>
                        <w:t>Isabelle Chopin, Thien Uyen Do “Developing Anti-Discrimination law in the European Union” October 2012, pp11-13</w:t>
                      </w:r>
                    </w:p>
                    <w:p w:rsidR="008248FE" w:rsidRDefault="008248FE" w:rsidP="00B87075"/>
                  </w:txbxContent>
                </v:textbox>
                <w10:wrap type="square" anchorx="margin" anchory="margin"/>
              </v:roundrect>
            </w:pict>
          </mc:Fallback>
        </mc:AlternateContent>
      </w:r>
      <w:r w:rsidR="00DE3758" w:rsidRPr="00DE3758">
        <w:t>disclosing the illness</w:t>
      </w:r>
    </w:p>
    <w:p w:rsidR="00BB42A7" w:rsidRDefault="00216AF5" w:rsidP="00496FBF">
      <w:r>
        <w:t>Disclosing the illness is often a key issue for patients as there is a stigma attached to chronic conditions. There is usually a lack of awareness of the ability of patients to continue to work safely.</w:t>
      </w:r>
      <w:r w:rsidR="00496FBF">
        <w:t xml:space="preserve"> </w:t>
      </w:r>
      <w:r>
        <w:t xml:space="preserve">Illnesses may </w:t>
      </w:r>
      <w:r w:rsidR="006C50E9">
        <w:t>also sometimes</w:t>
      </w:r>
      <w:r>
        <w:t xml:space="preserve"> be considered as </w:t>
      </w:r>
      <w:r w:rsidR="00D07E4D">
        <w:t xml:space="preserve">a </w:t>
      </w:r>
      <w:r>
        <w:t xml:space="preserve">private matter both by patients or their </w:t>
      </w:r>
      <w:r w:rsidR="00FC513D">
        <w:t>employers.</w:t>
      </w:r>
    </w:p>
    <w:p w:rsidR="006C50E9" w:rsidRDefault="005A122E" w:rsidP="00BB42A7">
      <w:pPr>
        <w:spacing w:after="0"/>
      </w:pPr>
      <w:r>
        <w:t xml:space="preserve">At the same time, disclosing the condition to the employer </w:t>
      </w:r>
      <w:r w:rsidR="006C50E9">
        <w:t>may open</w:t>
      </w:r>
      <w:r>
        <w:t xml:space="preserve"> the rights of patients to accommodation and appropriate </w:t>
      </w:r>
      <w:r w:rsidR="006C50E9">
        <w:t>adjustments</w:t>
      </w:r>
      <w:r w:rsidR="00C067E8">
        <w:t xml:space="preserve">: </w:t>
      </w:r>
      <w:r w:rsidR="005049D3" w:rsidRPr="00FA5DA5">
        <w:rPr>
          <w:b/>
          <w:i/>
        </w:rPr>
        <w:t>T</w:t>
      </w:r>
      <w:r w:rsidRPr="00FA5DA5">
        <w:rPr>
          <w:b/>
          <w:i/>
        </w:rPr>
        <w:t xml:space="preserve">he </w:t>
      </w:r>
      <w:r w:rsidR="006C50E9" w:rsidRPr="00FA5DA5">
        <w:rPr>
          <w:b/>
          <w:i/>
        </w:rPr>
        <w:t>Council Directive 2000/78/EC of 27 November 2000</w:t>
      </w:r>
      <w:r w:rsidR="006C50E9" w:rsidRPr="00FA5DA5">
        <w:rPr>
          <w:b/>
        </w:rPr>
        <w:t xml:space="preserve"> </w:t>
      </w:r>
      <w:r w:rsidR="006C50E9" w:rsidRPr="00FA5DA5">
        <w:rPr>
          <w:b/>
          <w:i/>
        </w:rPr>
        <w:t xml:space="preserve">establishing a general framework for equal treatment in employment and </w:t>
      </w:r>
      <w:proofErr w:type="gramStart"/>
      <w:r w:rsidR="006C50E9" w:rsidRPr="00FA5DA5">
        <w:rPr>
          <w:b/>
          <w:i/>
        </w:rPr>
        <w:t>occupation</w:t>
      </w:r>
      <w:r w:rsidR="00BE0A90">
        <w:t xml:space="preserve"> </w:t>
      </w:r>
      <w:r w:rsidR="005049D3">
        <w:t xml:space="preserve"> </w:t>
      </w:r>
      <w:r w:rsidR="00D07E4D">
        <w:t>creates</w:t>
      </w:r>
      <w:proofErr w:type="gramEnd"/>
      <w:r w:rsidR="005049D3" w:rsidRPr="005049D3">
        <w:t xml:space="preserve"> a general framework for combating discrimination on the grounds of religion or belief, disability, age or sexual orientation as regards employment and occupation, putting </w:t>
      </w:r>
      <w:r w:rsidR="00D07E4D" w:rsidRPr="005049D3">
        <w:t xml:space="preserve">the principle of equal treatment </w:t>
      </w:r>
      <w:r w:rsidR="005049D3" w:rsidRPr="005049D3">
        <w:t>into effect in the Member States.</w:t>
      </w:r>
      <w:r w:rsidR="005049D3">
        <w:t xml:space="preserve"> </w:t>
      </w:r>
      <w:r w:rsidR="005049D3" w:rsidRPr="00FA5DA5">
        <w:rPr>
          <w:b/>
        </w:rPr>
        <w:t xml:space="preserve">Article 5 </w:t>
      </w:r>
      <w:r w:rsidR="005049D3" w:rsidRPr="00FA5DA5">
        <w:t>of the Directive</w:t>
      </w:r>
      <w:r w:rsidR="005049D3">
        <w:t xml:space="preserve"> specifies </w:t>
      </w:r>
      <w:r w:rsidR="005B4C5B">
        <w:t xml:space="preserve">that </w:t>
      </w:r>
      <w:r w:rsidR="005B4C5B" w:rsidRPr="005049D3">
        <w:t>employers</w:t>
      </w:r>
      <w:r w:rsidR="005049D3" w:rsidRPr="005049D3">
        <w:t xml:space="preserve"> shall take appropriate measures, where needed in a particular case, to enable a person with a disability to have access to, participate in, or advance in emp</w:t>
      </w:r>
      <w:r w:rsidR="005049D3">
        <w:t>loyment, or to undergo training.</w:t>
      </w:r>
      <w:r w:rsidR="005049D3">
        <w:rPr>
          <w:rStyle w:val="FootnoteReference"/>
        </w:rPr>
        <w:footnoteReference w:id="24"/>
      </w:r>
      <w:r w:rsidR="00500558">
        <w:t xml:space="preserve"> </w:t>
      </w:r>
    </w:p>
    <w:p w:rsidR="005049D3" w:rsidRDefault="005049D3" w:rsidP="00BB42A7">
      <w:pPr>
        <w:spacing w:after="0"/>
      </w:pPr>
    </w:p>
    <w:p w:rsidR="005049D3" w:rsidRDefault="005049D3" w:rsidP="00BB42A7">
      <w:pPr>
        <w:spacing w:after="0"/>
      </w:pPr>
      <w:r>
        <w:lastRenderedPageBreak/>
        <w:t xml:space="preserve">A key </w:t>
      </w:r>
      <w:r w:rsidR="00C76F53">
        <w:t>shortcoming</w:t>
      </w:r>
      <w:r>
        <w:t xml:space="preserve"> </w:t>
      </w:r>
      <w:r w:rsidR="00500558">
        <w:t>of</w:t>
      </w:r>
      <w:r>
        <w:t xml:space="preserve"> the Directive is that it does not harmonize definition</w:t>
      </w:r>
      <w:r w:rsidR="00FC6704">
        <w:t>s</w:t>
      </w:r>
      <w:r>
        <w:t xml:space="preserve"> of disability, which can vary between Member States and be more or less inclusive.  This </w:t>
      </w:r>
      <w:r w:rsidR="00500558">
        <w:t>creates</w:t>
      </w:r>
      <w:r>
        <w:t xml:space="preserve"> ambiguity as to whether the Directive applies to patients with chronic diseases. Furthermore</w:t>
      </w:r>
      <w:r w:rsidR="00C76F53">
        <w:t>,</w:t>
      </w:r>
      <w:r>
        <w:t xml:space="preserve"> a European Court of Justice </w:t>
      </w:r>
      <w:r w:rsidR="00A63980">
        <w:t xml:space="preserve">case law </w:t>
      </w:r>
      <w:r w:rsidR="00A63980" w:rsidRPr="00FA5DA5">
        <w:rPr>
          <w:i/>
        </w:rPr>
        <w:t xml:space="preserve">Chacon </w:t>
      </w:r>
      <w:r w:rsidRPr="00FA5DA5">
        <w:rPr>
          <w:i/>
        </w:rPr>
        <w:t xml:space="preserve">Navas </w:t>
      </w:r>
      <w:r w:rsidR="00A63980" w:rsidRPr="00FA5DA5">
        <w:rPr>
          <w:i/>
        </w:rPr>
        <w:t>v Eurest Colectividades SA</w:t>
      </w:r>
      <w:r w:rsidR="00A63980">
        <w:t xml:space="preserve"> </w:t>
      </w:r>
      <w:r>
        <w:t>specified that people with sickness are not covered by the Directive.</w:t>
      </w:r>
      <w:r w:rsidR="00A63980">
        <w:rPr>
          <w:rStyle w:val="FootnoteReference"/>
        </w:rPr>
        <w:footnoteReference w:id="25"/>
      </w:r>
    </w:p>
    <w:p w:rsidR="006C50E9" w:rsidRDefault="006C50E9" w:rsidP="00BB42A7">
      <w:pPr>
        <w:spacing w:after="0"/>
      </w:pPr>
    </w:p>
    <w:p w:rsidR="00DC070B" w:rsidRDefault="005049D3" w:rsidP="00BB42A7">
      <w:pPr>
        <w:spacing w:after="0"/>
      </w:pPr>
      <w:r>
        <w:t>Nevertheless i</w:t>
      </w:r>
      <w:r w:rsidR="006C50E9">
        <w:t>f</w:t>
      </w:r>
      <w:r w:rsidR="005A122E">
        <w:t xml:space="preserve"> the chronic condition is considered as disability by the Member State</w:t>
      </w:r>
      <w:r w:rsidR="006C50E9">
        <w:t>,</w:t>
      </w:r>
      <w:r>
        <w:t xml:space="preserve"> or if the Member State has further provisions compared to the Directive, patients may have the right to accommodation and </w:t>
      </w:r>
      <w:r w:rsidR="001A6941">
        <w:t>adjustments</w:t>
      </w:r>
      <w:r>
        <w:t>.</w:t>
      </w:r>
    </w:p>
    <w:p w:rsidR="005A122E" w:rsidRPr="004430BA" w:rsidRDefault="005A122E" w:rsidP="00BB42A7">
      <w:pPr>
        <w:spacing w:after="0"/>
        <w:rPr>
          <w:color w:val="00B050"/>
        </w:rPr>
      </w:pPr>
    </w:p>
    <w:p w:rsidR="004430BA" w:rsidRPr="004430BA" w:rsidRDefault="004430BA" w:rsidP="00BB42A7">
      <w:pPr>
        <w:spacing w:after="0"/>
        <w:rPr>
          <w:b/>
          <w:color w:val="00B050"/>
        </w:rPr>
      </w:pPr>
      <w:r w:rsidRPr="004430BA">
        <w:rPr>
          <w:b/>
          <w:color w:val="00B050"/>
        </w:rPr>
        <w:t>Question to EPF members:</w:t>
      </w:r>
    </w:p>
    <w:p w:rsidR="00DC070B" w:rsidRDefault="00DC070B" w:rsidP="007E6DBA">
      <w:pPr>
        <w:pStyle w:val="ListParagraph"/>
        <w:numPr>
          <w:ilvl w:val="0"/>
          <w:numId w:val="6"/>
        </w:numPr>
        <w:spacing w:after="0"/>
      </w:pPr>
      <w:r>
        <w:t>In your view, what would be needed to ensure that patients can disclose their conditions safely?</w:t>
      </w:r>
    </w:p>
    <w:p w:rsidR="004430BA" w:rsidRPr="004430BA" w:rsidRDefault="004430BA" w:rsidP="007E6DBA">
      <w:pPr>
        <w:pStyle w:val="ListParagraph"/>
        <w:numPr>
          <w:ilvl w:val="0"/>
          <w:numId w:val="6"/>
        </w:numPr>
        <w:spacing w:after="0"/>
      </w:pPr>
      <w:r w:rsidRPr="004430BA">
        <w:t xml:space="preserve">The European Network for Workplace Health Adaptation (ENWHP) recommends that </w:t>
      </w:r>
      <w:r w:rsidR="00C76F53">
        <w:t xml:space="preserve">a </w:t>
      </w:r>
      <w:r w:rsidRPr="004430BA">
        <w:t xml:space="preserve">line </w:t>
      </w:r>
      <w:r w:rsidR="007D21CF">
        <w:t xml:space="preserve"> </w:t>
      </w:r>
      <w:r w:rsidRPr="004430BA">
        <w:t xml:space="preserve">manager organise a discussion and a case review with the employee, sometimes involving external advice (medical, insurance), to finally adopt a commonly agreed action plan. </w:t>
      </w:r>
      <w:r w:rsidRPr="004430BA">
        <w:rPr>
          <w:rStyle w:val="FootnoteReference"/>
        </w:rPr>
        <w:footnoteReference w:id="26"/>
      </w:r>
      <w:r w:rsidR="00AB737E">
        <w:t xml:space="preserve"> </w:t>
      </w:r>
      <w:r w:rsidRPr="004430BA">
        <w:t>D</w:t>
      </w:r>
      <w:r w:rsidR="00B537CA" w:rsidRPr="004430BA">
        <w:t xml:space="preserve">o you believe this would be helpful? Are you aware of such existing </w:t>
      </w:r>
      <w:r w:rsidR="00B9001A" w:rsidRPr="004430BA">
        <w:t>processes?</w:t>
      </w:r>
    </w:p>
    <w:p w:rsidR="00387A0E" w:rsidRDefault="00387A0E" w:rsidP="00387A0E">
      <w:pPr>
        <w:pStyle w:val="Heading3"/>
      </w:pPr>
      <w:r>
        <w:t>rights of patients at work</w:t>
      </w:r>
    </w:p>
    <w:p w:rsidR="00387A0E" w:rsidRDefault="00DC070B" w:rsidP="00387A0E">
      <w:pPr>
        <w:spacing w:after="0"/>
      </w:pPr>
      <w:r w:rsidRPr="00174FFE">
        <w:rPr>
          <w:noProof/>
          <w:lang w:eastAsia="en-GB"/>
        </w:rPr>
        <mc:AlternateContent>
          <mc:Choice Requires="wps">
            <w:drawing>
              <wp:anchor distT="0" distB="0" distL="114300" distR="114300" simplePos="0" relativeHeight="251691008" behindDoc="0" locked="0" layoutInCell="1" allowOverlap="1" wp14:anchorId="1E3C3AE2" wp14:editId="07ABBA6F">
                <wp:simplePos x="0" y="0"/>
                <wp:positionH relativeFrom="margin">
                  <wp:posOffset>-10795</wp:posOffset>
                </wp:positionH>
                <wp:positionV relativeFrom="margin">
                  <wp:posOffset>4723130</wp:posOffset>
                </wp:positionV>
                <wp:extent cx="2926080" cy="2628900"/>
                <wp:effectExtent l="57150" t="38100" r="83820" b="95250"/>
                <wp:wrapSquare wrapText="bothSides"/>
                <wp:docPr id="18" name="Rounded Rectangle 18"/>
                <wp:cNvGraphicFramePr/>
                <a:graphic xmlns:a="http://schemas.openxmlformats.org/drawingml/2006/main">
                  <a:graphicData uri="http://schemas.microsoft.com/office/word/2010/wordprocessingShape">
                    <wps:wsp>
                      <wps:cNvSpPr/>
                      <wps:spPr>
                        <a:xfrm>
                          <a:off x="0" y="0"/>
                          <a:ext cx="2926080" cy="26289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74FFE" w:rsidRDefault="00174FFE" w:rsidP="00174FFE">
                            <w:pPr>
                              <w:rPr>
                                <w:sz w:val="20"/>
                                <w:szCs w:val="20"/>
                              </w:rPr>
                            </w:pPr>
                            <w:r w:rsidRPr="00B9001A">
                              <w:rPr>
                                <w:b/>
                                <w:sz w:val="20"/>
                                <w:szCs w:val="20"/>
                              </w:rPr>
                              <w:t>Example</w:t>
                            </w:r>
                            <w:r>
                              <w:rPr>
                                <w:b/>
                                <w:sz w:val="20"/>
                                <w:szCs w:val="20"/>
                              </w:rPr>
                              <w:t>s</w:t>
                            </w:r>
                            <w:r w:rsidRPr="00B9001A">
                              <w:rPr>
                                <w:b/>
                                <w:sz w:val="20"/>
                                <w:szCs w:val="20"/>
                              </w:rPr>
                              <w:t xml:space="preserve"> of good practice:</w:t>
                            </w:r>
                            <w:r w:rsidRPr="00B9001A">
                              <w:rPr>
                                <w:sz w:val="20"/>
                                <w:szCs w:val="20"/>
                              </w:rPr>
                              <w:t xml:space="preserve"> The UK government provides an online platform </w:t>
                            </w:r>
                            <w:proofErr w:type="spellStart"/>
                            <w:r w:rsidRPr="00B9001A">
                              <w:rPr>
                                <w:sz w:val="20"/>
                                <w:szCs w:val="20"/>
                              </w:rPr>
                              <w:t>FitForWork</w:t>
                            </w:r>
                            <w:proofErr w:type="spellEnd"/>
                            <w:r w:rsidRPr="00B9001A">
                              <w:rPr>
                                <w:sz w:val="20"/>
                                <w:szCs w:val="20"/>
                              </w:rPr>
                              <w:t xml:space="preserve"> with advice for GP</w:t>
                            </w:r>
                            <w:r>
                              <w:rPr>
                                <w:sz w:val="20"/>
                                <w:szCs w:val="20"/>
                              </w:rPr>
                              <w:t>s</w:t>
                            </w:r>
                            <w:r w:rsidRPr="00B9001A">
                              <w:rPr>
                                <w:sz w:val="20"/>
                                <w:szCs w:val="20"/>
                              </w:rPr>
                              <w:t>, employees and employers, containing information about health at work including workplace adjustments, as well as a helpline</w:t>
                            </w:r>
                            <w:r>
                              <w:rPr>
                                <w:sz w:val="20"/>
                                <w:szCs w:val="20"/>
                              </w:rPr>
                              <w:t>:</w:t>
                            </w:r>
                            <w:r w:rsidRPr="00B9001A">
                              <w:rPr>
                                <w:sz w:val="20"/>
                                <w:szCs w:val="20"/>
                              </w:rPr>
                              <w:t xml:space="preserve"> </w:t>
                            </w:r>
                            <w:hyperlink r:id="rId11" w:history="1">
                              <w:r w:rsidRPr="00B9001A">
                                <w:rPr>
                                  <w:rStyle w:val="Hyperlink"/>
                                  <w:sz w:val="20"/>
                                  <w:szCs w:val="20"/>
                                </w:rPr>
                                <w:t>http://support.fitforwork.org/app/home/type/employee</w:t>
                              </w:r>
                            </w:hyperlink>
                            <w:r w:rsidRPr="00B9001A">
                              <w:rPr>
                                <w:sz w:val="20"/>
                                <w:szCs w:val="20"/>
                              </w:rPr>
                              <w:t xml:space="preserve"> </w:t>
                            </w:r>
                          </w:p>
                          <w:p w:rsidR="00174FFE" w:rsidRDefault="00174FFE" w:rsidP="00174FFE">
                            <w:pPr>
                              <w:rPr>
                                <w:sz w:val="20"/>
                                <w:szCs w:val="20"/>
                              </w:rPr>
                            </w:pPr>
                            <w:r>
                              <w:rPr>
                                <w:sz w:val="20"/>
                                <w:szCs w:val="20"/>
                              </w:rPr>
                              <w:t>In Austria, a website Fit2Work has also been put in place to provide advice for employees and employers</w:t>
                            </w:r>
                            <w:proofErr w:type="gramStart"/>
                            <w:r>
                              <w:rPr>
                                <w:sz w:val="20"/>
                                <w:szCs w:val="20"/>
                              </w:rPr>
                              <w:t>:</w:t>
                            </w:r>
                            <w:proofErr w:type="gramEnd"/>
                            <w:r>
                              <w:rPr>
                                <w:sz w:val="20"/>
                                <w:szCs w:val="20"/>
                              </w:rPr>
                              <w:br/>
                            </w:r>
                            <w:hyperlink r:id="rId12" w:history="1">
                              <w:r w:rsidRPr="00D80EB1">
                                <w:rPr>
                                  <w:rStyle w:val="Hyperlink"/>
                                  <w:sz w:val="20"/>
                                  <w:szCs w:val="20"/>
                                </w:rPr>
                                <w:t>http://www.fit2work.at/home/</w:t>
                              </w:r>
                            </w:hyperlink>
                            <w:r>
                              <w:rPr>
                                <w:sz w:val="20"/>
                                <w:szCs w:val="20"/>
                              </w:rPr>
                              <w:t xml:space="preserve"> </w:t>
                            </w:r>
                          </w:p>
                          <w:p w:rsidR="00174FFE" w:rsidRPr="00B9001A" w:rsidRDefault="00174FFE" w:rsidP="00174FFE">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3" style="position:absolute;margin-left:-.85pt;margin-top:371.9pt;width:230.4pt;height:20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" fillcolor="#dafda7" strokecolor="#98b954">
                <v:fill color2="#f5ffe6" rotate="t" angle="180" colors="0 #dafda7;22938f #e4fdc2;1 #f5ffe6" focus="100%" type="gradient"/>
                <v:shadow on="t" color="black" opacity="24903f" origin=",.5" offset="0,.55556mm"/>
                <v:textbox>
                  <w:txbxContent>
                    <w:p w:rsidR="00174FFE" w:rsidRDefault="00174FFE" w:rsidP="00174FFE">
                      <w:pPr>
                        <w:rPr>
                          <w:sz w:val="20"/>
                          <w:szCs w:val="20"/>
                        </w:rPr>
                      </w:pPr>
                      <w:r w:rsidRPr="00B9001A">
                        <w:rPr>
                          <w:b/>
                          <w:sz w:val="20"/>
                          <w:szCs w:val="20"/>
                        </w:rPr>
                        <w:t>Example</w:t>
                      </w:r>
                      <w:r>
                        <w:rPr>
                          <w:b/>
                          <w:sz w:val="20"/>
                          <w:szCs w:val="20"/>
                        </w:rPr>
                        <w:t>s</w:t>
                      </w:r>
                      <w:r w:rsidRPr="00B9001A">
                        <w:rPr>
                          <w:b/>
                          <w:sz w:val="20"/>
                          <w:szCs w:val="20"/>
                        </w:rPr>
                        <w:t xml:space="preserve"> of good practice:</w:t>
                      </w:r>
                      <w:r w:rsidRPr="00B9001A">
                        <w:rPr>
                          <w:sz w:val="20"/>
                          <w:szCs w:val="20"/>
                        </w:rPr>
                        <w:t xml:space="preserve"> The UK government provides an online platform </w:t>
                      </w:r>
                      <w:proofErr w:type="spellStart"/>
                      <w:r w:rsidRPr="00B9001A">
                        <w:rPr>
                          <w:sz w:val="20"/>
                          <w:szCs w:val="20"/>
                        </w:rPr>
                        <w:t>FitForWork</w:t>
                      </w:r>
                      <w:proofErr w:type="spellEnd"/>
                      <w:r w:rsidRPr="00B9001A">
                        <w:rPr>
                          <w:sz w:val="20"/>
                          <w:szCs w:val="20"/>
                        </w:rPr>
                        <w:t xml:space="preserve"> with advice for GP</w:t>
                      </w:r>
                      <w:r>
                        <w:rPr>
                          <w:sz w:val="20"/>
                          <w:szCs w:val="20"/>
                        </w:rPr>
                        <w:t>s</w:t>
                      </w:r>
                      <w:r w:rsidRPr="00B9001A">
                        <w:rPr>
                          <w:sz w:val="20"/>
                          <w:szCs w:val="20"/>
                        </w:rPr>
                        <w:t>, employees and employers, containing information about health at work including workplace adjustments, as well as a helpline</w:t>
                      </w:r>
                      <w:r>
                        <w:rPr>
                          <w:sz w:val="20"/>
                          <w:szCs w:val="20"/>
                        </w:rPr>
                        <w:t>:</w:t>
                      </w:r>
                      <w:r w:rsidRPr="00B9001A">
                        <w:rPr>
                          <w:sz w:val="20"/>
                          <w:szCs w:val="20"/>
                        </w:rPr>
                        <w:t xml:space="preserve"> </w:t>
                      </w:r>
                      <w:hyperlink r:id="rId13" w:history="1">
                        <w:r w:rsidRPr="00B9001A">
                          <w:rPr>
                            <w:rStyle w:val="Hyperlink"/>
                            <w:sz w:val="20"/>
                            <w:szCs w:val="20"/>
                          </w:rPr>
                          <w:t>http://support.fitforwork.org/app/home/type/employee</w:t>
                        </w:r>
                      </w:hyperlink>
                      <w:r w:rsidRPr="00B9001A">
                        <w:rPr>
                          <w:sz w:val="20"/>
                          <w:szCs w:val="20"/>
                        </w:rPr>
                        <w:t xml:space="preserve"> </w:t>
                      </w:r>
                    </w:p>
                    <w:p w:rsidR="00174FFE" w:rsidRDefault="00174FFE" w:rsidP="00174FFE">
                      <w:pPr>
                        <w:rPr>
                          <w:sz w:val="20"/>
                          <w:szCs w:val="20"/>
                        </w:rPr>
                      </w:pPr>
                      <w:r>
                        <w:rPr>
                          <w:sz w:val="20"/>
                          <w:szCs w:val="20"/>
                        </w:rPr>
                        <w:t>In Austria, a website Fit2Work has also been put in place to provide advice for employees and employers</w:t>
                      </w:r>
                      <w:proofErr w:type="gramStart"/>
                      <w:r>
                        <w:rPr>
                          <w:sz w:val="20"/>
                          <w:szCs w:val="20"/>
                        </w:rPr>
                        <w:t>:</w:t>
                      </w:r>
                      <w:proofErr w:type="gramEnd"/>
                      <w:r>
                        <w:rPr>
                          <w:sz w:val="20"/>
                          <w:szCs w:val="20"/>
                        </w:rPr>
                        <w:br/>
                      </w:r>
                      <w:hyperlink r:id="rId14" w:history="1">
                        <w:r w:rsidRPr="00D80EB1">
                          <w:rPr>
                            <w:rStyle w:val="Hyperlink"/>
                            <w:sz w:val="20"/>
                            <w:szCs w:val="20"/>
                          </w:rPr>
                          <w:t>http://www.fit2work.at/home/</w:t>
                        </w:r>
                      </w:hyperlink>
                      <w:r>
                        <w:rPr>
                          <w:sz w:val="20"/>
                          <w:szCs w:val="20"/>
                        </w:rPr>
                        <w:t xml:space="preserve"> </w:t>
                      </w:r>
                    </w:p>
                    <w:p w:rsidR="00174FFE" w:rsidRPr="00B9001A" w:rsidRDefault="00174FFE" w:rsidP="00174FFE">
                      <w:pPr>
                        <w:rPr>
                          <w:sz w:val="20"/>
                          <w:szCs w:val="20"/>
                        </w:rPr>
                      </w:pPr>
                    </w:p>
                  </w:txbxContent>
                </v:textbox>
                <w10:wrap type="square" anchorx="margin" anchory="margin"/>
              </v:roundrect>
            </w:pict>
          </mc:Fallback>
        </mc:AlternateContent>
      </w:r>
      <w:r w:rsidR="00387A0E">
        <w:t xml:space="preserve">Ensuring </w:t>
      </w:r>
      <w:r w:rsidR="00BF7155">
        <w:t xml:space="preserve">that </w:t>
      </w:r>
      <w:r w:rsidR="00387A0E">
        <w:t>workplace environment</w:t>
      </w:r>
      <w:r w:rsidR="00BF7155">
        <w:t>s</w:t>
      </w:r>
      <w:r w:rsidR="00387A0E">
        <w:t xml:space="preserve"> offer adequate support and adjustment for patients with chronic</w:t>
      </w:r>
      <w:r w:rsidR="00FC6704">
        <w:t xml:space="preserve"> </w:t>
      </w:r>
      <w:r w:rsidR="00FB7AB0">
        <w:t xml:space="preserve">conditions </w:t>
      </w:r>
      <w:r w:rsidR="00387A0E">
        <w:t xml:space="preserve">so that they can stay at work in good condition is crucial to achieve EU 2020’s goal of “smart, sustainable and inclusive growth”. </w:t>
      </w:r>
      <w:r w:rsidR="00387A0E" w:rsidRPr="00F14B5D">
        <w:t>It is essential to support people with chronic diseases and older peopl</w:t>
      </w:r>
      <w:r w:rsidR="00F14B5D" w:rsidRPr="00F14B5D">
        <w:t>e to stay employ</w:t>
      </w:r>
      <w:r w:rsidR="00BF7155">
        <w:t>ed</w:t>
      </w:r>
      <w:r w:rsidR="00F14B5D" w:rsidRPr="00F14B5D">
        <w:t xml:space="preserve"> </w:t>
      </w:r>
      <w:r w:rsidR="00BF7155">
        <w:t xml:space="preserve">for </w:t>
      </w:r>
      <w:r w:rsidR="00F14B5D" w:rsidRPr="00F14B5D">
        <w:t>longer</w:t>
      </w:r>
      <w:r w:rsidR="00BF7155">
        <w:t xml:space="preserve"> periods of time</w:t>
      </w:r>
      <w:r w:rsidR="00F14B5D" w:rsidRPr="00F14B5D">
        <w:t xml:space="preserve">. </w:t>
      </w:r>
      <w:r w:rsidR="00BF7155">
        <w:t>This</w:t>
      </w:r>
      <w:r w:rsidR="00F14B5D" w:rsidRPr="00F14B5D">
        <w:t xml:space="preserve"> has mult</w:t>
      </w:r>
      <w:r w:rsidR="00FC6704">
        <w:t>iple benefits for the employee and</w:t>
      </w:r>
      <w:r w:rsidR="00F14B5D" w:rsidRPr="00F14B5D">
        <w:t xml:space="preserve"> for the employer who is able to retain staff, and </w:t>
      </w:r>
      <w:r w:rsidR="00C76F53">
        <w:t xml:space="preserve">also </w:t>
      </w:r>
      <w:r w:rsidR="00F14B5D" w:rsidRPr="00F14B5D">
        <w:t>for the economy</w:t>
      </w:r>
      <w:r w:rsidR="00387A0E" w:rsidRPr="00F14B5D">
        <w:t>. Such a strategy could also contribute to tackl</w:t>
      </w:r>
      <w:r w:rsidR="00C76F53">
        <w:t>ing</w:t>
      </w:r>
      <w:r w:rsidR="00387A0E" w:rsidRPr="00F14B5D">
        <w:t xml:space="preserve"> the issue raised by the shrinking</w:t>
      </w:r>
      <w:r w:rsidR="00F14B5D" w:rsidRPr="00F14B5D">
        <w:t xml:space="preserve"> size</w:t>
      </w:r>
      <w:r w:rsidR="00387A0E" w:rsidRPr="00F14B5D">
        <w:t xml:space="preserve"> of population of working age</w:t>
      </w:r>
      <w:r w:rsidR="00F14B5D" w:rsidRPr="00F14B5D">
        <w:t xml:space="preserve"> as a result of demographic </w:t>
      </w:r>
      <w:r w:rsidR="00FC6704">
        <w:t>change</w:t>
      </w:r>
      <w:r w:rsidR="00387A0E" w:rsidRPr="00F14B5D">
        <w:t>.</w:t>
      </w:r>
      <w:r w:rsidR="00387A0E" w:rsidRPr="00A26CAE">
        <w:t xml:space="preserve"> </w:t>
      </w:r>
    </w:p>
    <w:p w:rsidR="00387A0E" w:rsidRDefault="00387A0E" w:rsidP="00387A0E">
      <w:pPr>
        <w:spacing w:after="0"/>
      </w:pPr>
    </w:p>
    <w:p w:rsidR="00387A0E" w:rsidRDefault="00387A0E" w:rsidP="00140EA3">
      <w:pPr>
        <w:spacing w:after="0"/>
      </w:pPr>
      <w:r>
        <w:t>The lack of clear structure an</w:t>
      </w:r>
      <w:r w:rsidR="00020082">
        <w:t xml:space="preserve">d rights in various </w:t>
      </w:r>
      <w:r w:rsidR="00D07057">
        <w:t xml:space="preserve">situations </w:t>
      </w:r>
      <w:r w:rsidR="00D07057" w:rsidRPr="00020082">
        <w:rPr>
          <w:noProof/>
          <w:lang w:eastAsia="en-GB"/>
        </w:rPr>
        <w:t>encountered</w:t>
      </w:r>
      <w:r>
        <w:t xml:space="preserve"> by patients with chronic diseases could be considered as indirect structural forms of discrimination. For example</w:t>
      </w:r>
      <w:r w:rsidR="00D85BE9">
        <w:t>,</w:t>
      </w:r>
      <w:r>
        <w:t xml:space="preserve"> it is unclear whether patients with chronic and long-term conditions are protected when they risk losing their job due to repeated or long-term absence</w:t>
      </w:r>
      <w:r>
        <w:rPr>
          <w:rStyle w:val="FootnoteReference"/>
        </w:rPr>
        <w:footnoteReference w:id="27"/>
      </w:r>
      <w:r>
        <w:t xml:space="preserve">. </w:t>
      </w:r>
      <w:r w:rsidR="00FC6704">
        <w:t xml:space="preserve">Patients’ </w:t>
      </w:r>
      <w:r w:rsidR="00FC6704">
        <w:lastRenderedPageBreak/>
        <w:t>rights</w:t>
      </w:r>
      <w:r w:rsidR="00D85BE9">
        <w:t xml:space="preserve"> </w:t>
      </w:r>
      <w:r>
        <w:t>regard</w:t>
      </w:r>
      <w:r w:rsidR="00D85BE9">
        <w:t>ing</w:t>
      </w:r>
      <w:r>
        <w:t xml:space="preserve"> workplace adjustments and accommodation are not always clear or responding to the needs of patients, and they are not always well-implemented</w:t>
      </w:r>
      <w:r w:rsidR="00720D35">
        <w:t xml:space="preserve"> across the European Union</w:t>
      </w:r>
      <w:r>
        <w:t>.</w:t>
      </w:r>
    </w:p>
    <w:p w:rsidR="00387A0E" w:rsidRDefault="00387A0E" w:rsidP="00387A0E">
      <w:pPr>
        <w:spacing w:after="0" w:line="240" w:lineRule="auto"/>
        <w:jc w:val="both"/>
      </w:pPr>
    </w:p>
    <w:p w:rsidR="00387A0E" w:rsidRDefault="00387A0E" w:rsidP="00140EA3">
      <w:pPr>
        <w:spacing w:after="240"/>
        <w:rPr>
          <w:rFonts w:ascii="Calibri" w:eastAsia="Times New Roman" w:hAnsi="Calibri" w:cs="Calibri"/>
          <w:lang w:eastAsia="nl-BE"/>
        </w:rPr>
      </w:pPr>
      <w:r w:rsidRPr="00541105">
        <w:rPr>
          <w:rFonts w:ascii="Calibri" w:eastAsia="Times New Roman" w:hAnsi="Calibri" w:cs="Calibri"/>
          <w:lang w:eastAsia="nl-BE"/>
        </w:rPr>
        <w:t xml:space="preserve">Adapted systems and protective legislation are not always in place to allow patients with chronic diseases to remain in the workplace </w:t>
      </w:r>
      <w:r w:rsidR="00D85BE9">
        <w:rPr>
          <w:rFonts w:ascii="Calibri" w:eastAsia="Times New Roman" w:hAnsi="Calibri" w:cs="Calibri"/>
          <w:lang w:eastAsia="nl-BE"/>
        </w:rPr>
        <w:t>under</w:t>
      </w:r>
      <w:r w:rsidRPr="00541105">
        <w:rPr>
          <w:rFonts w:ascii="Calibri" w:eastAsia="Times New Roman" w:hAnsi="Calibri" w:cs="Calibri"/>
          <w:lang w:eastAsia="nl-BE"/>
        </w:rPr>
        <w:t xml:space="preserve"> acceptable conditions. Whe</w:t>
      </w:r>
      <w:r w:rsidR="00D85BE9">
        <w:rPr>
          <w:rFonts w:ascii="Calibri" w:eastAsia="Times New Roman" w:hAnsi="Calibri" w:cs="Calibri"/>
          <w:lang w:eastAsia="nl-BE"/>
        </w:rPr>
        <w:t>n</w:t>
      </w:r>
      <w:r w:rsidRPr="00541105">
        <w:rPr>
          <w:rFonts w:ascii="Calibri" w:eastAsia="Times New Roman" w:hAnsi="Calibri" w:cs="Calibri"/>
          <w:lang w:eastAsia="nl-BE"/>
        </w:rPr>
        <w:t xml:space="preserve"> the</w:t>
      </w:r>
      <w:r w:rsidR="00D85BE9">
        <w:rPr>
          <w:rFonts w:ascii="Calibri" w:eastAsia="Times New Roman" w:hAnsi="Calibri" w:cs="Calibri"/>
          <w:lang w:eastAsia="nl-BE"/>
        </w:rPr>
        <w:t>se systems and laws do</w:t>
      </w:r>
      <w:r w:rsidRPr="00541105">
        <w:rPr>
          <w:rFonts w:ascii="Calibri" w:eastAsia="Times New Roman" w:hAnsi="Calibri" w:cs="Calibri"/>
          <w:lang w:eastAsia="nl-BE"/>
        </w:rPr>
        <w:t xml:space="preserve"> exist</w:t>
      </w:r>
      <w:r w:rsidR="00D85BE9">
        <w:rPr>
          <w:rFonts w:ascii="Calibri" w:eastAsia="Times New Roman" w:hAnsi="Calibri" w:cs="Calibri"/>
          <w:lang w:eastAsia="nl-BE"/>
        </w:rPr>
        <w:t>,</w:t>
      </w:r>
      <w:r w:rsidRPr="00541105">
        <w:rPr>
          <w:rFonts w:ascii="Calibri" w:eastAsia="Times New Roman" w:hAnsi="Calibri" w:cs="Calibri"/>
          <w:lang w:eastAsia="nl-BE"/>
        </w:rPr>
        <w:t xml:space="preserve"> they are usually under-used; employers and the population at large tend not to be aware of their existence.</w:t>
      </w:r>
      <w:r w:rsidRPr="00541105">
        <w:rPr>
          <w:rFonts w:ascii="Calibri" w:eastAsia="Times New Roman" w:hAnsi="Calibri" w:cs="Calibri"/>
          <w:vertAlign w:val="superscript"/>
          <w:lang w:eastAsia="nl-BE"/>
        </w:rPr>
        <w:footnoteReference w:id="28"/>
      </w:r>
      <w:r w:rsidRPr="00541105">
        <w:rPr>
          <w:rFonts w:ascii="Calibri" w:eastAsia="Times New Roman" w:hAnsi="Calibri" w:cs="Calibri"/>
          <w:lang w:eastAsia="nl-BE"/>
        </w:rPr>
        <w:t xml:space="preserve"> Actions to raise awareness within companies or trade unions and for the public could contribute significantly to tacking this problem.</w:t>
      </w:r>
      <w:r w:rsidRPr="00541105">
        <w:rPr>
          <w:rFonts w:ascii="Calibri" w:eastAsia="Times New Roman" w:hAnsi="Calibri" w:cs="Calibri"/>
          <w:vertAlign w:val="superscript"/>
          <w:lang w:eastAsia="nl-BE"/>
        </w:rPr>
        <w:footnoteReference w:id="29"/>
      </w:r>
      <w:r w:rsidRPr="00541105">
        <w:rPr>
          <w:rFonts w:ascii="Calibri" w:eastAsia="Times New Roman" w:hAnsi="Calibri" w:cs="Calibri"/>
          <w:lang w:eastAsia="nl-BE"/>
        </w:rPr>
        <w:t xml:space="preserve"> </w:t>
      </w:r>
    </w:p>
    <w:p w:rsidR="00D07057" w:rsidRPr="00B9001A" w:rsidRDefault="00D07057" w:rsidP="00D07057">
      <w:pPr>
        <w:spacing w:after="0"/>
        <w:rPr>
          <w:b/>
          <w:color w:val="00B050"/>
        </w:rPr>
      </w:pPr>
      <w:r>
        <w:rPr>
          <w:b/>
          <w:color w:val="00B050"/>
        </w:rPr>
        <w:t>Questions to EPF members</w:t>
      </w:r>
    </w:p>
    <w:p w:rsidR="00D07057" w:rsidRDefault="00D07057" w:rsidP="00D07057">
      <w:pPr>
        <w:pStyle w:val="ListParagraph"/>
        <w:numPr>
          <w:ilvl w:val="0"/>
          <w:numId w:val="14"/>
        </w:numPr>
        <w:spacing w:after="0"/>
      </w:pPr>
      <w:r w:rsidRPr="00B9001A">
        <w:t xml:space="preserve">In your experience, is information on the </w:t>
      </w:r>
      <w:r>
        <w:t>rights of patients</w:t>
      </w:r>
      <w:r w:rsidRPr="00B9001A">
        <w:t xml:space="preserve"> to be protected from discrimination and to adjustments easy to access in your country/disease area? </w:t>
      </w:r>
    </w:p>
    <w:p w:rsidR="00D07057" w:rsidRDefault="00D07057" w:rsidP="00D07057">
      <w:pPr>
        <w:pStyle w:val="ListParagraph"/>
        <w:numPr>
          <w:ilvl w:val="0"/>
          <w:numId w:val="14"/>
        </w:numPr>
        <w:spacing w:after="0"/>
      </w:pPr>
      <w:r>
        <w:t>What kind of adjustments may be necessary/ provided in your disease area?</w:t>
      </w:r>
    </w:p>
    <w:p w:rsidR="00D07057" w:rsidRPr="00B9001A" w:rsidRDefault="00D07057" w:rsidP="00D07057">
      <w:pPr>
        <w:pStyle w:val="ListParagraph"/>
        <w:numPr>
          <w:ilvl w:val="0"/>
          <w:numId w:val="14"/>
        </w:numPr>
        <w:spacing w:after="0"/>
      </w:pPr>
      <w:r w:rsidRPr="00B9001A">
        <w:t xml:space="preserve">Are employers and employee usually aware of </w:t>
      </w:r>
      <w:r>
        <w:t>these rights</w:t>
      </w:r>
      <w:r w:rsidRPr="00B9001A">
        <w:t>?</w:t>
      </w:r>
    </w:p>
    <w:p w:rsidR="00D07057" w:rsidRPr="00B9001A" w:rsidRDefault="00D07057" w:rsidP="00D07057">
      <w:pPr>
        <w:pStyle w:val="ListParagraph"/>
        <w:numPr>
          <w:ilvl w:val="0"/>
          <w:numId w:val="14"/>
        </w:numPr>
        <w:spacing w:after="0"/>
      </w:pPr>
      <w:r w:rsidRPr="00B9001A">
        <w:t xml:space="preserve">Are these rights well implemented? </w:t>
      </w:r>
    </w:p>
    <w:p w:rsidR="00645FF5" w:rsidRDefault="00DE3758" w:rsidP="00645FF5">
      <w:pPr>
        <w:pStyle w:val="Heading3"/>
      </w:pPr>
      <w:r w:rsidRPr="00DE3758">
        <w:t>employers and colleagues</w:t>
      </w:r>
      <w:r w:rsidR="00645FF5" w:rsidRPr="00645FF5">
        <w:t xml:space="preserve"> </w:t>
      </w:r>
    </w:p>
    <w:p w:rsidR="00D07057" w:rsidRDefault="005F32FD" w:rsidP="00A63980">
      <w:r>
        <w:rPr>
          <w:noProof/>
          <w:lang w:eastAsia="en-GB"/>
        </w:rPr>
        <mc:AlternateContent>
          <mc:Choice Requires="wps">
            <w:drawing>
              <wp:anchor distT="0" distB="0" distL="114300" distR="114300" simplePos="0" relativeHeight="251688960" behindDoc="0" locked="0" layoutInCell="1" allowOverlap="1" wp14:anchorId="446BB5E2" wp14:editId="732D841A">
                <wp:simplePos x="0" y="0"/>
                <wp:positionH relativeFrom="margin">
                  <wp:posOffset>2906395</wp:posOffset>
                </wp:positionH>
                <wp:positionV relativeFrom="margin">
                  <wp:posOffset>4144010</wp:posOffset>
                </wp:positionV>
                <wp:extent cx="2562225" cy="2060575"/>
                <wp:effectExtent l="57150" t="38100" r="85725" b="92075"/>
                <wp:wrapSquare wrapText="bothSides"/>
                <wp:docPr id="22" name="Rounded Rectangle 22"/>
                <wp:cNvGraphicFramePr/>
                <a:graphic xmlns:a="http://schemas.openxmlformats.org/drawingml/2006/main">
                  <a:graphicData uri="http://schemas.microsoft.com/office/word/2010/wordprocessingShape">
                    <wps:wsp>
                      <wps:cNvSpPr/>
                      <wps:spPr>
                        <a:xfrm>
                          <a:off x="0" y="0"/>
                          <a:ext cx="2562225" cy="20605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74FFE" w:rsidRDefault="00174FFE" w:rsidP="00174FFE">
                            <w:bookmarkStart w:id="0" w:name="_GoBack"/>
                            <w:r w:rsidRPr="003A0419">
                              <w:rPr>
                                <w:b/>
                                <w:sz w:val="20"/>
                                <w:szCs w:val="20"/>
                              </w:rPr>
                              <w:t>Good practice:</w:t>
                            </w:r>
                            <w:r>
                              <w:rPr>
                                <w:b/>
                                <w:sz w:val="20"/>
                                <w:szCs w:val="20"/>
                              </w:rPr>
                              <w:t xml:space="preserve"> </w:t>
                            </w:r>
                            <w:r w:rsidRPr="003D51F3">
                              <w:rPr>
                                <w:sz w:val="20"/>
                                <w:szCs w:val="20"/>
                              </w:rPr>
                              <w:t xml:space="preserve">The </w:t>
                            </w:r>
                            <w:r>
                              <w:rPr>
                                <w:sz w:val="20"/>
                                <w:szCs w:val="20"/>
                              </w:rPr>
                              <w:t>organisation</w:t>
                            </w:r>
                            <w:r w:rsidR="00476F91">
                              <w:rPr>
                                <w:sz w:val="20"/>
                                <w:szCs w:val="20"/>
                              </w:rPr>
                              <w:t xml:space="preserve"> the Alliance Scotland launched</w:t>
                            </w:r>
                            <w:r>
                              <w:rPr>
                                <w:sz w:val="20"/>
                                <w:szCs w:val="20"/>
                              </w:rPr>
                              <w:t xml:space="preserve"> a campaign</w:t>
                            </w:r>
                            <w:r w:rsidRPr="003D51F3">
                              <w:rPr>
                                <w:sz w:val="20"/>
                                <w:szCs w:val="20"/>
                              </w:rPr>
                              <w:t xml:space="preserve"> to promote employability of people with long</w:t>
                            </w:r>
                            <w:r>
                              <w:rPr>
                                <w:sz w:val="20"/>
                                <w:szCs w:val="20"/>
                              </w:rPr>
                              <w:t>-</w:t>
                            </w:r>
                            <w:r w:rsidRPr="003D51F3">
                              <w:rPr>
                                <w:sz w:val="20"/>
                                <w:szCs w:val="20"/>
                              </w:rPr>
                              <w:t xml:space="preserve">term </w:t>
                            </w:r>
                            <w:r>
                              <w:rPr>
                                <w:sz w:val="20"/>
                                <w:szCs w:val="20"/>
                              </w:rPr>
                              <w:t xml:space="preserve">conditions, “My skills, my strengths, </w:t>
                            </w:r>
                            <w:proofErr w:type="gramStart"/>
                            <w:r>
                              <w:rPr>
                                <w:sz w:val="20"/>
                                <w:szCs w:val="20"/>
                              </w:rPr>
                              <w:t>m</w:t>
                            </w:r>
                            <w:r w:rsidRPr="003D51F3">
                              <w:rPr>
                                <w:sz w:val="20"/>
                                <w:szCs w:val="20"/>
                              </w:rPr>
                              <w:t>y</w:t>
                            </w:r>
                            <w:proofErr w:type="gramEnd"/>
                            <w:r w:rsidRPr="003D51F3">
                              <w:rPr>
                                <w:sz w:val="20"/>
                                <w:szCs w:val="20"/>
                              </w:rPr>
                              <w:t xml:space="preserve"> work”</w:t>
                            </w:r>
                            <w:r>
                              <w:rPr>
                                <w:sz w:val="20"/>
                                <w:szCs w:val="20"/>
                              </w:rPr>
                              <w:t>,</w:t>
                            </w:r>
                            <w:r w:rsidRPr="003D51F3">
                              <w:rPr>
                                <w:sz w:val="20"/>
                                <w:szCs w:val="20"/>
                              </w:rPr>
                              <w:t xml:space="preserve"> which aims to change perceptions of employers</w:t>
                            </w:r>
                            <w:r>
                              <w:rPr>
                                <w:sz w:val="20"/>
                                <w:szCs w:val="20"/>
                              </w:rPr>
                              <w:t>:</w:t>
                            </w:r>
                            <w:r w:rsidRPr="003D51F3">
                              <w:rPr>
                                <w:sz w:val="20"/>
                                <w:szCs w:val="20"/>
                              </w:rPr>
                              <w:t xml:space="preserve"> http://www.alliance-scotland.org.uk/what-we-do/projects/my-skills-my-strengths-my-right-to-work/</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4" style="position:absolute;margin-left:228.85pt;margin-top:326.3pt;width:201.75pt;height:162.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" fillcolor="#dafda7" strokecolor="#98b954">
                <v:fill color2="#f5ffe6" rotate="t" angle="180" colors="0 #dafda7;22938f #e4fdc2;1 #f5ffe6" focus="100%" type="gradient"/>
                <v:shadow on="t" color="black" opacity="24903f" origin=",.5" offset="0,.55556mm"/>
                <v:textbox>
                  <w:txbxContent>
                    <w:p w:rsidR="00174FFE" w:rsidRDefault="00174FFE" w:rsidP="00174FFE">
                      <w:bookmarkStart w:id="1" w:name="_GoBack"/>
                      <w:r w:rsidRPr="003A0419">
                        <w:rPr>
                          <w:b/>
                          <w:sz w:val="20"/>
                          <w:szCs w:val="20"/>
                        </w:rPr>
                        <w:t>Good practice:</w:t>
                      </w:r>
                      <w:r>
                        <w:rPr>
                          <w:b/>
                          <w:sz w:val="20"/>
                          <w:szCs w:val="20"/>
                        </w:rPr>
                        <w:t xml:space="preserve"> </w:t>
                      </w:r>
                      <w:r w:rsidRPr="003D51F3">
                        <w:rPr>
                          <w:sz w:val="20"/>
                          <w:szCs w:val="20"/>
                        </w:rPr>
                        <w:t xml:space="preserve">The </w:t>
                      </w:r>
                      <w:r>
                        <w:rPr>
                          <w:sz w:val="20"/>
                          <w:szCs w:val="20"/>
                        </w:rPr>
                        <w:t>organisation</w:t>
                      </w:r>
                      <w:r w:rsidR="00476F91">
                        <w:rPr>
                          <w:sz w:val="20"/>
                          <w:szCs w:val="20"/>
                        </w:rPr>
                        <w:t xml:space="preserve"> the Alliance Scotland launched</w:t>
                      </w:r>
                      <w:r>
                        <w:rPr>
                          <w:sz w:val="20"/>
                          <w:szCs w:val="20"/>
                        </w:rPr>
                        <w:t xml:space="preserve"> a campaign</w:t>
                      </w:r>
                      <w:r w:rsidRPr="003D51F3">
                        <w:rPr>
                          <w:sz w:val="20"/>
                          <w:szCs w:val="20"/>
                        </w:rPr>
                        <w:t xml:space="preserve"> to promote employability of people with long</w:t>
                      </w:r>
                      <w:r>
                        <w:rPr>
                          <w:sz w:val="20"/>
                          <w:szCs w:val="20"/>
                        </w:rPr>
                        <w:t>-</w:t>
                      </w:r>
                      <w:r w:rsidRPr="003D51F3">
                        <w:rPr>
                          <w:sz w:val="20"/>
                          <w:szCs w:val="20"/>
                        </w:rPr>
                        <w:t xml:space="preserve">term </w:t>
                      </w:r>
                      <w:r>
                        <w:rPr>
                          <w:sz w:val="20"/>
                          <w:szCs w:val="20"/>
                        </w:rPr>
                        <w:t xml:space="preserve">conditions, “My skills, my strengths, </w:t>
                      </w:r>
                      <w:proofErr w:type="gramStart"/>
                      <w:r>
                        <w:rPr>
                          <w:sz w:val="20"/>
                          <w:szCs w:val="20"/>
                        </w:rPr>
                        <w:t>m</w:t>
                      </w:r>
                      <w:r w:rsidRPr="003D51F3">
                        <w:rPr>
                          <w:sz w:val="20"/>
                          <w:szCs w:val="20"/>
                        </w:rPr>
                        <w:t>y</w:t>
                      </w:r>
                      <w:proofErr w:type="gramEnd"/>
                      <w:r w:rsidRPr="003D51F3">
                        <w:rPr>
                          <w:sz w:val="20"/>
                          <w:szCs w:val="20"/>
                        </w:rPr>
                        <w:t xml:space="preserve"> work”</w:t>
                      </w:r>
                      <w:r>
                        <w:rPr>
                          <w:sz w:val="20"/>
                          <w:szCs w:val="20"/>
                        </w:rPr>
                        <w:t>,</w:t>
                      </w:r>
                      <w:r w:rsidRPr="003D51F3">
                        <w:rPr>
                          <w:sz w:val="20"/>
                          <w:szCs w:val="20"/>
                        </w:rPr>
                        <w:t xml:space="preserve"> which aims to change perceptions of employers</w:t>
                      </w:r>
                      <w:r>
                        <w:rPr>
                          <w:sz w:val="20"/>
                          <w:szCs w:val="20"/>
                        </w:rPr>
                        <w:t>:</w:t>
                      </w:r>
                      <w:r w:rsidRPr="003D51F3">
                        <w:rPr>
                          <w:sz w:val="20"/>
                          <w:szCs w:val="20"/>
                        </w:rPr>
                        <w:t xml:space="preserve"> http://www.alliance-scotland.org.uk/what-we-do/projects/my-skills-my-strengths-my-right-to-work/</w:t>
                      </w:r>
                      <w:bookmarkEnd w:id="1"/>
                    </w:p>
                  </w:txbxContent>
                </v:textbox>
                <w10:wrap type="square" anchorx="margin" anchory="margin"/>
              </v:roundrect>
            </w:pict>
          </mc:Fallback>
        </mc:AlternateContent>
      </w:r>
      <w:r w:rsidR="00CF4DD9" w:rsidRPr="00CF4DD9">
        <w:t xml:space="preserve">Patients often face low levels of awareness from their employers </w:t>
      </w:r>
      <w:r w:rsidR="00174FFE" w:rsidRPr="00CF4DD9">
        <w:t>o</w:t>
      </w:r>
      <w:r w:rsidR="00174FFE" w:rsidRPr="00174FFE">
        <w:rPr>
          <w:noProof/>
          <w:lang w:eastAsia="en-GB"/>
        </w:rPr>
        <w:t>n</w:t>
      </w:r>
      <w:r w:rsidR="00CF4DD9" w:rsidRPr="00CF4DD9">
        <w:t xml:space="preserve"> managing chronic conditions. </w:t>
      </w:r>
      <w:r w:rsidR="00D07057" w:rsidRPr="00D07057">
        <w:t>Employers are often misinformed regard</w:t>
      </w:r>
      <w:r w:rsidR="00974848">
        <w:t>ing the</w:t>
      </w:r>
      <w:r w:rsidR="00D07057" w:rsidRPr="00D07057">
        <w:t xml:space="preserve"> abilities of patients to continue working, resulting in stigma. </w:t>
      </w:r>
      <w:r w:rsidR="00CF4DD9">
        <w:t xml:space="preserve">They </w:t>
      </w:r>
      <w:r w:rsidR="00D07057" w:rsidRPr="00D07057">
        <w:t>may have concerns a</w:t>
      </w:r>
      <w:r w:rsidR="005D4C4A">
        <w:t>bout</w:t>
      </w:r>
      <w:r w:rsidR="00D07057" w:rsidRPr="00D07057">
        <w:t xml:space="preserve"> costs, productivity, and absences. Because of negative perceptions, patients may not mention they have a disease or may not ask for the necessary adaptations.</w:t>
      </w:r>
    </w:p>
    <w:p w:rsidR="00CF4DD9" w:rsidRDefault="00CF4DD9" w:rsidP="00CF4DD9">
      <w:pPr>
        <w:spacing w:after="0"/>
      </w:pPr>
      <w:r w:rsidRPr="0095593C">
        <w:t>In the workplace</w:t>
      </w:r>
      <w:r>
        <w:t>,</w:t>
      </w:r>
      <w:r w:rsidRPr="0095593C">
        <w:t xml:space="preserve"> patients may face stigma and discriminatory attitudes from employers or colleagues such as </w:t>
      </w:r>
      <w:r>
        <w:t xml:space="preserve">undue disclosure of their condition, </w:t>
      </w:r>
      <w:r w:rsidRPr="0095593C">
        <w:t>lack of support to go back to work after a sick leave, or even difficulties after a long-term absence (e.g</w:t>
      </w:r>
      <w:r>
        <w:t>. some patients are “side-lined”).</w:t>
      </w:r>
      <w:r>
        <w:rPr>
          <w:rStyle w:val="FootnoteReference"/>
        </w:rPr>
        <w:footnoteReference w:id="30"/>
      </w:r>
      <w:r>
        <w:t xml:space="preserve"> </w:t>
      </w:r>
    </w:p>
    <w:p w:rsidR="00CF4DD9" w:rsidRDefault="00CF4DD9" w:rsidP="00CF4DD9">
      <w:pPr>
        <w:spacing w:after="0"/>
      </w:pPr>
    </w:p>
    <w:p w:rsidR="00F14B5D" w:rsidRDefault="00CF4DD9" w:rsidP="00E957C2">
      <w:pPr>
        <w:spacing w:after="0"/>
      </w:pPr>
      <w:r>
        <w:t xml:space="preserve">The Eurofound study on employment opportunities for people with chronic conditions </w:t>
      </w:r>
      <w:r w:rsidR="00476F91">
        <w:t xml:space="preserve">also </w:t>
      </w:r>
      <w:r>
        <w:t>shows that they may have more difficulties obtaining training opportunities and promotio</w:t>
      </w:r>
      <w:r w:rsidRPr="00005589">
        <w:t>n.</w:t>
      </w:r>
      <w:r w:rsidRPr="00005589">
        <w:rPr>
          <w:rStyle w:val="FootnoteReference"/>
        </w:rPr>
        <w:footnoteReference w:id="31"/>
      </w:r>
    </w:p>
    <w:p w:rsidR="00E957C2" w:rsidRDefault="00E957C2" w:rsidP="00E957C2">
      <w:pPr>
        <w:spacing w:after="0"/>
      </w:pPr>
    </w:p>
    <w:p w:rsidR="00D07057" w:rsidRPr="003D51F3" w:rsidRDefault="00D07057" w:rsidP="00D07057">
      <w:pPr>
        <w:spacing w:after="0"/>
        <w:rPr>
          <w:b/>
          <w:color w:val="00B050"/>
        </w:rPr>
      </w:pPr>
      <w:r w:rsidRPr="003D51F3">
        <w:rPr>
          <w:b/>
          <w:color w:val="00B050"/>
        </w:rPr>
        <w:lastRenderedPageBreak/>
        <w:t>Questions to EPF members</w:t>
      </w:r>
    </w:p>
    <w:p w:rsidR="00D07057" w:rsidRDefault="00D07057" w:rsidP="00D07057">
      <w:pPr>
        <w:pStyle w:val="ListParagraph"/>
        <w:numPr>
          <w:ilvl w:val="0"/>
          <w:numId w:val="17"/>
        </w:numPr>
      </w:pPr>
      <w:r>
        <w:t>In your country</w:t>
      </w:r>
      <w:r w:rsidR="00D50D54">
        <w:t>,</w:t>
      </w:r>
      <w:r>
        <w:t xml:space="preserve"> do employers have </w:t>
      </w:r>
      <w:r w:rsidR="00D50D54">
        <w:t xml:space="preserve">a </w:t>
      </w:r>
      <w:r>
        <w:t xml:space="preserve">management policy to tackle discrimination </w:t>
      </w:r>
      <w:r w:rsidR="00974848">
        <w:t>against</w:t>
      </w:r>
      <w:r>
        <w:t xml:space="preserve"> patients with chronic disease at work?</w:t>
      </w:r>
    </w:p>
    <w:p w:rsidR="00D07057" w:rsidRDefault="00D07057" w:rsidP="00D07057">
      <w:pPr>
        <w:pStyle w:val="ListParagraph"/>
        <w:numPr>
          <w:ilvl w:val="0"/>
          <w:numId w:val="17"/>
        </w:numPr>
      </w:pPr>
      <w:r>
        <w:t xml:space="preserve">  If not</w:t>
      </w:r>
      <w:r w:rsidR="00D50D54">
        <w:t>,</w:t>
      </w:r>
      <w:r>
        <w:t xml:space="preserve"> how should these policies be developed (EU or national level)?</w:t>
      </w:r>
    </w:p>
    <w:p w:rsidR="00DC070B" w:rsidRDefault="00DC070B" w:rsidP="00D07057">
      <w:pPr>
        <w:pStyle w:val="ListParagraph"/>
        <w:numPr>
          <w:ilvl w:val="0"/>
          <w:numId w:val="17"/>
        </w:numPr>
      </w:pPr>
      <w:r>
        <w:t>What more can be done to support patients (</w:t>
      </w:r>
      <w:r w:rsidR="00E640CD">
        <w:t>e.g.</w:t>
      </w:r>
      <w:r>
        <w:t xml:space="preserve"> organising workshops</w:t>
      </w:r>
      <w:r w:rsidR="00E640CD">
        <w:t>, providing resources…) and who can be involved in supporting them?</w:t>
      </w:r>
    </w:p>
    <w:p w:rsidR="00DE3758" w:rsidRDefault="006C310C" w:rsidP="00E72849">
      <w:pPr>
        <w:pStyle w:val="Heading3"/>
      </w:pPr>
      <w:r>
        <w:t>SICK leave and return to work</w:t>
      </w:r>
    </w:p>
    <w:p w:rsidR="006C310C" w:rsidRDefault="00733069" w:rsidP="00E90B4C">
      <w:r>
        <w:t xml:space="preserve">According to a report by </w:t>
      </w:r>
      <w:r w:rsidR="00476F91">
        <w:t>T</w:t>
      </w:r>
      <w:r>
        <w:t xml:space="preserve">he Economist, chronic </w:t>
      </w:r>
      <w:r w:rsidR="00DB3EB2">
        <w:t>conditions are</w:t>
      </w:r>
      <w:r>
        <w:t xml:space="preserve"> among the main reasons why employees take sick leave.</w:t>
      </w:r>
      <w:r>
        <w:rPr>
          <w:rStyle w:val="FootnoteReference"/>
        </w:rPr>
        <w:footnoteReference w:id="32"/>
      </w:r>
    </w:p>
    <w:p w:rsidR="006C310C" w:rsidRDefault="00E957C2" w:rsidP="00F0092E">
      <w:r>
        <w:rPr>
          <w:noProof/>
          <w:lang w:eastAsia="en-GB"/>
        </w:rPr>
        <mc:AlternateContent>
          <mc:Choice Requires="wps">
            <w:drawing>
              <wp:anchor distT="0" distB="0" distL="114300" distR="114300" simplePos="0" relativeHeight="251675648" behindDoc="0" locked="0" layoutInCell="1" allowOverlap="1" wp14:anchorId="2773EA90" wp14:editId="24FA5AE0">
                <wp:simplePos x="0" y="0"/>
                <wp:positionH relativeFrom="margin">
                  <wp:posOffset>-71120</wp:posOffset>
                </wp:positionH>
                <wp:positionV relativeFrom="margin">
                  <wp:posOffset>3282315</wp:posOffset>
                </wp:positionV>
                <wp:extent cx="2708910" cy="2590800"/>
                <wp:effectExtent l="57150" t="38100" r="72390" b="95250"/>
                <wp:wrapSquare wrapText="bothSides"/>
                <wp:docPr id="13" name="Rounded Rectangle 13"/>
                <wp:cNvGraphicFramePr/>
                <a:graphic xmlns:a="http://schemas.openxmlformats.org/drawingml/2006/main">
                  <a:graphicData uri="http://schemas.microsoft.com/office/word/2010/wordprocessingShape">
                    <wps:wsp>
                      <wps:cNvSpPr/>
                      <wps:spPr>
                        <a:xfrm>
                          <a:off x="0" y="0"/>
                          <a:ext cx="2708910" cy="25908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248FE" w:rsidRDefault="008248FE" w:rsidP="00F0092E">
                            <w:pPr>
                              <w:rPr>
                                <w:sz w:val="20"/>
                                <w:szCs w:val="20"/>
                              </w:rPr>
                            </w:pPr>
                            <w:r w:rsidRPr="00F0092E">
                              <w:rPr>
                                <w:b/>
                                <w:sz w:val="20"/>
                                <w:szCs w:val="20"/>
                              </w:rPr>
                              <w:t>Good practice</w:t>
                            </w:r>
                            <w:r>
                              <w:rPr>
                                <w:b/>
                                <w:sz w:val="20"/>
                                <w:szCs w:val="20"/>
                              </w:rPr>
                              <w:t xml:space="preserve"> example</w:t>
                            </w:r>
                            <w:r w:rsidRPr="00F0092E">
                              <w:rPr>
                                <w:b/>
                                <w:sz w:val="20"/>
                                <w:szCs w:val="20"/>
                              </w:rPr>
                              <w:t>:</w:t>
                            </w:r>
                            <w:r w:rsidRPr="00F0092E">
                              <w:rPr>
                                <w:sz w:val="20"/>
                                <w:szCs w:val="20"/>
                              </w:rPr>
                              <w:t xml:space="preserve"> The UK has </w:t>
                            </w:r>
                            <w:r>
                              <w:rPr>
                                <w:sz w:val="20"/>
                                <w:szCs w:val="20"/>
                              </w:rPr>
                              <w:t>established</w:t>
                            </w:r>
                            <w:r w:rsidRPr="00F0092E">
                              <w:rPr>
                                <w:sz w:val="20"/>
                                <w:szCs w:val="20"/>
                              </w:rPr>
                              <w:t xml:space="preserve"> a new policy around return to work, with a fit note instead of a sick note and guidance for all stakeholders’ concerned (patients, managers, healthcare professional). The aim is to allow doctors to </w:t>
                            </w:r>
                            <w:proofErr w:type="gramStart"/>
                            <w:r w:rsidRPr="00F0092E">
                              <w:rPr>
                                <w:sz w:val="20"/>
                                <w:szCs w:val="20"/>
                              </w:rPr>
                              <w:t>advi</w:t>
                            </w:r>
                            <w:r>
                              <w:rPr>
                                <w:sz w:val="20"/>
                                <w:szCs w:val="20"/>
                              </w:rPr>
                              <w:t>s</w:t>
                            </w:r>
                            <w:r w:rsidRPr="00F0092E">
                              <w:rPr>
                                <w:sz w:val="20"/>
                                <w:szCs w:val="20"/>
                              </w:rPr>
                              <w:t>e</w:t>
                            </w:r>
                            <w:proofErr w:type="gramEnd"/>
                            <w:r w:rsidRPr="00F0092E">
                              <w:rPr>
                                <w:sz w:val="20"/>
                                <w:szCs w:val="20"/>
                              </w:rPr>
                              <w:t xml:space="preserve"> on return to work, and propose phased return to work or adjustments that could be necessary. The Health and Safety Executive has also published guides on how to facilitate return to work. </w:t>
                            </w:r>
                            <w:r>
                              <w:rPr>
                                <w:sz w:val="20"/>
                                <w:szCs w:val="20"/>
                              </w:rPr>
                              <w:t>*</w:t>
                            </w:r>
                          </w:p>
                          <w:p w:rsidR="008248FE" w:rsidRDefault="008248FE" w:rsidP="00F0092E">
                            <w:pPr>
                              <w:rPr>
                                <w:sz w:val="20"/>
                                <w:szCs w:val="20"/>
                              </w:rPr>
                            </w:pPr>
                            <w:r>
                              <w:rPr>
                                <w:sz w:val="20"/>
                                <w:szCs w:val="20"/>
                              </w:rPr>
                              <w:t>*</w:t>
                            </w:r>
                            <w:r w:rsidRPr="00F25051">
                              <w:rPr>
                                <w:sz w:val="20"/>
                                <w:szCs w:val="20"/>
                              </w:rPr>
                              <w:t>http://www.hse.gov.uk/sicknessabsence/</w:t>
                            </w:r>
                          </w:p>
                          <w:p w:rsidR="008248FE" w:rsidRDefault="008248FE" w:rsidP="00F0092E">
                            <w:pPr>
                              <w:rPr>
                                <w:sz w:val="20"/>
                                <w:szCs w:val="20"/>
                              </w:rPr>
                            </w:pPr>
                          </w:p>
                          <w:p w:rsidR="008248FE" w:rsidRPr="00F0092E" w:rsidRDefault="008248FE" w:rsidP="00F0092E">
                            <w:pPr>
                              <w:rPr>
                                <w:sz w:val="20"/>
                                <w:szCs w:val="20"/>
                              </w:rPr>
                            </w:pPr>
                          </w:p>
                          <w:p w:rsidR="008248FE" w:rsidRDefault="008248FE" w:rsidP="00F0092E">
                            <w:pPr>
                              <w:jc w:val="center"/>
                            </w:pPr>
                          </w:p>
                          <w:p w:rsidR="008248FE" w:rsidRDefault="008248FE" w:rsidP="00F009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5" style="position:absolute;margin-left:-5.6pt;margin-top:258.45pt;width:213.3pt;height:20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" fillcolor="#cdddac [1622]" strokecolor="#94b64e [3046]">
                <v:fill color2="#f0f4e6 [502]" rotate="t" angle="180" colors="0 #dafda7;22938f #e4fdc2;1 #f5ffe6" focus="100%" type="gradient"/>
                <v:shadow on="t" color="black" opacity="24903f" origin=",.5" offset="0,.55556mm"/>
                <v:textbox>
                  <w:txbxContent>
                    <w:p w:rsidR="008248FE" w:rsidRDefault="008248FE" w:rsidP="00F0092E">
                      <w:pPr>
                        <w:rPr>
                          <w:sz w:val="20"/>
                          <w:szCs w:val="20"/>
                        </w:rPr>
                      </w:pPr>
                      <w:r w:rsidRPr="00F0092E">
                        <w:rPr>
                          <w:b/>
                          <w:sz w:val="20"/>
                          <w:szCs w:val="20"/>
                        </w:rPr>
                        <w:t>Good practice</w:t>
                      </w:r>
                      <w:r>
                        <w:rPr>
                          <w:b/>
                          <w:sz w:val="20"/>
                          <w:szCs w:val="20"/>
                        </w:rPr>
                        <w:t xml:space="preserve"> example</w:t>
                      </w:r>
                      <w:r w:rsidRPr="00F0092E">
                        <w:rPr>
                          <w:b/>
                          <w:sz w:val="20"/>
                          <w:szCs w:val="20"/>
                        </w:rPr>
                        <w:t>:</w:t>
                      </w:r>
                      <w:r w:rsidRPr="00F0092E">
                        <w:rPr>
                          <w:sz w:val="20"/>
                          <w:szCs w:val="20"/>
                        </w:rPr>
                        <w:t xml:space="preserve"> The UK has </w:t>
                      </w:r>
                      <w:r>
                        <w:rPr>
                          <w:sz w:val="20"/>
                          <w:szCs w:val="20"/>
                        </w:rPr>
                        <w:t>established</w:t>
                      </w:r>
                      <w:r w:rsidRPr="00F0092E">
                        <w:rPr>
                          <w:sz w:val="20"/>
                          <w:szCs w:val="20"/>
                        </w:rPr>
                        <w:t xml:space="preserve"> a new policy around return to work, with a fit note instead of a sick note and guidance for all stakeholders’ concerned (patients, managers, healthcare professional). The aim is to allow doctors to </w:t>
                      </w:r>
                      <w:proofErr w:type="gramStart"/>
                      <w:r w:rsidRPr="00F0092E">
                        <w:rPr>
                          <w:sz w:val="20"/>
                          <w:szCs w:val="20"/>
                        </w:rPr>
                        <w:t>advi</w:t>
                      </w:r>
                      <w:r>
                        <w:rPr>
                          <w:sz w:val="20"/>
                          <w:szCs w:val="20"/>
                        </w:rPr>
                        <w:t>s</w:t>
                      </w:r>
                      <w:r w:rsidRPr="00F0092E">
                        <w:rPr>
                          <w:sz w:val="20"/>
                          <w:szCs w:val="20"/>
                        </w:rPr>
                        <w:t>e</w:t>
                      </w:r>
                      <w:proofErr w:type="gramEnd"/>
                      <w:r w:rsidRPr="00F0092E">
                        <w:rPr>
                          <w:sz w:val="20"/>
                          <w:szCs w:val="20"/>
                        </w:rPr>
                        <w:t xml:space="preserve"> on return to work, and propose phased return to work or adjustments that could be necessary. The Health and Safety Executive has also published guides on how to facilitate return to work. </w:t>
                      </w:r>
                      <w:r>
                        <w:rPr>
                          <w:sz w:val="20"/>
                          <w:szCs w:val="20"/>
                        </w:rPr>
                        <w:t>*</w:t>
                      </w:r>
                    </w:p>
                    <w:p w:rsidR="008248FE" w:rsidRDefault="008248FE" w:rsidP="00F0092E">
                      <w:pPr>
                        <w:rPr>
                          <w:sz w:val="20"/>
                          <w:szCs w:val="20"/>
                        </w:rPr>
                      </w:pPr>
                      <w:r>
                        <w:rPr>
                          <w:sz w:val="20"/>
                          <w:szCs w:val="20"/>
                        </w:rPr>
                        <w:t>*</w:t>
                      </w:r>
                      <w:r w:rsidRPr="00F25051">
                        <w:rPr>
                          <w:sz w:val="20"/>
                          <w:szCs w:val="20"/>
                        </w:rPr>
                        <w:t>http://www.hse.gov.uk/sicknessabsence/</w:t>
                      </w:r>
                    </w:p>
                    <w:p w:rsidR="008248FE" w:rsidRDefault="008248FE" w:rsidP="00F0092E">
                      <w:pPr>
                        <w:rPr>
                          <w:sz w:val="20"/>
                          <w:szCs w:val="20"/>
                        </w:rPr>
                      </w:pPr>
                    </w:p>
                    <w:p w:rsidR="008248FE" w:rsidRPr="00F0092E" w:rsidRDefault="008248FE" w:rsidP="00F0092E">
                      <w:pPr>
                        <w:rPr>
                          <w:sz w:val="20"/>
                          <w:szCs w:val="20"/>
                        </w:rPr>
                      </w:pPr>
                    </w:p>
                    <w:p w:rsidR="008248FE" w:rsidRDefault="008248FE" w:rsidP="00F0092E">
                      <w:pPr>
                        <w:jc w:val="center"/>
                      </w:pPr>
                    </w:p>
                    <w:p w:rsidR="008248FE" w:rsidRDefault="008248FE" w:rsidP="00F0092E">
                      <w:pPr>
                        <w:jc w:val="center"/>
                      </w:pPr>
                    </w:p>
                  </w:txbxContent>
                </v:textbox>
                <w10:wrap type="square" anchorx="margin" anchory="margin"/>
              </v:roundrect>
            </w:pict>
          </mc:Fallback>
        </mc:AlternateContent>
      </w:r>
      <w:r w:rsidR="00733069">
        <w:t>Provisions for sick leave vary across Member States, with different degrees of burden on State, employers and employee</w:t>
      </w:r>
      <w:r w:rsidR="007F2B54">
        <w:t>s</w:t>
      </w:r>
      <w:r w:rsidR="00733069">
        <w:t xml:space="preserve"> to bear the cost.</w:t>
      </w:r>
      <w:r w:rsidR="00644B5F">
        <w:t xml:space="preserve"> The Economist report suggest</w:t>
      </w:r>
      <w:r w:rsidR="00974848">
        <w:t>s</w:t>
      </w:r>
      <w:r w:rsidR="00644B5F">
        <w:t xml:space="preserve"> that some system</w:t>
      </w:r>
      <w:r w:rsidR="00BD5DD5">
        <w:t>s are deterring absenteeism and</w:t>
      </w:r>
      <w:r w:rsidR="00644B5F">
        <w:t xml:space="preserve"> encouraging presenteeism</w:t>
      </w:r>
      <w:r w:rsidR="00BD5DD5">
        <w:t xml:space="preserve"> which </w:t>
      </w:r>
      <w:r w:rsidR="00720D35">
        <w:t>can have a negative impact</w:t>
      </w:r>
      <w:r w:rsidR="00BD5DD5">
        <w:t xml:space="preserve"> as it may inadvertently encourage “complacency in tackling work related causes of ill-health” and pose more risk of injury.</w:t>
      </w:r>
      <w:r w:rsidR="00BD5DD5">
        <w:rPr>
          <w:rStyle w:val="FootnoteReference"/>
        </w:rPr>
        <w:footnoteReference w:id="33"/>
      </w:r>
    </w:p>
    <w:p w:rsidR="00075EE2" w:rsidRDefault="00AF0F0F" w:rsidP="00E90B4C">
      <w:r>
        <w:t xml:space="preserve">Return to work after a sick leave has also been flagged as an important issue by patient organisations, and was also documented as </w:t>
      </w:r>
      <w:r w:rsidR="00075EE2">
        <w:t>a key</w:t>
      </w:r>
      <w:r>
        <w:t xml:space="preserve"> issue by the OECD.</w:t>
      </w:r>
      <w:r>
        <w:rPr>
          <w:rStyle w:val="FootnoteReference"/>
        </w:rPr>
        <w:footnoteReference w:id="34"/>
      </w:r>
      <w:r w:rsidR="00FC513D">
        <w:t xml:space="preserve"> </w:t>
      </w:r>
    </w:p>
    <w:p w:rsidR="00300ABC" w:rsidRDefault="00300ABC" w:rsidP="00E90B4C">
      <w:r>
        <w:t xml:space="preserve">In 2014 in France, the Cancer League indicated </w:t>
      </w:r>
      <w:proofErr w:type="gramStart"/>
      <w:r>
        <w:t>that</w:t>
      </w:r>
      <w:proofErr w:type="gramEnd"/>
      <w:r>
        <w:t xml:space="preserve"> 2 years after </w:t>
      </w:r>
      <w:r w:rsidR="007C1D58">
        <w:t>diagnosis</w:t>
      </w:r>
      <w:r>
        <w:t xml:space="preserve">, one in 3 </w:t>
      </w:r>
      <w:r w:rsidR="0013099A">
        <w:t>people</w:t>
      </w:r>
      <w:r>
        <w:t xml:space="preserve"> lo</w:t>
      </w:r>
      <w:r w:rsidR="00E5295B">
        <w:t>s</w:t>
      </w:r>
      <w:r>
        <w:t>e</w:t>
      </w:r>
      <w:r w:rsidR="00E5295B">
        <w:t>s</w:t>
      </w:r>
      <w:r>
        <w:t xml:space="preserve"> or quit</w:t>
      </w:r>
      <w:r w:rsidR="00E5295B">
        <w:t>s</w:t>
      </w:r>
      <w:r>
        <w:t xml:space="preserve"> their job, </w:t>
      </w:r>
      <w:r w:rsidR="00E5295B">
        <w:t xml:space="preserve">mostly </w:t>
      </w:r>
      <w:r>
        <w:t>due to discriminat</w:t>
      </w:r>
      <w:r w:rsidR="00F31B0B">
        <w:t xml:space="preserve">ion and stigma or simply lack </w:t>
      </w:r>
      <w:r>
        <w:t>of return to work policies.</w:t>
      </w:r>
      <w:r>
        <w:rPr>
          <w:rStyle w:val="FootnoteReference"/>
        </w:rPr>
        <w:footnoteReference w:id="35"/>
      </w:r>
    </w:p>
    <w:p w:rsidR="00720D35" w:rsidRPr="00F0092E" w:rsidRDefault="00075EE2" w:rsidP="00720D35">
      <w:r w:rsidRPr="00C7469A">
        <w:t>Having a sound return to work proce</w:t>
      </w:r>
      <w:r w:rsidR="007C1D58">
        <w:t>dure</w:t>
      </w:r>
      <w:r w:rsidRPr="00C7469A">
        <w:t xml:space="preserve"> is essential </w:t>
      </w:r>
      <w:r w:rsidR="007C1D58">
        <w:t xml:space="preserve">for employees </w:t>
      </w:r>
      <w:r w:rsidR="00217799">
        <w:t>after a long</w:t>
      </w:r>
      <w:r w:rsidR="007C1D58">
        <w:t>-</w:t>
      </w:r>
      <w:r w:rsidR="00217799">
        <w:t>term absence</w:t>
      </w:r>
      <w:r w:rsidRPr="00C7469A">
        <w:t xml:space="preserve">, </w:t>
      </w:r>
      <w:r w:rsidR="007C1D58">
        <w:t xml:space="preserve">helping </w:t>
      </w:r>
      <w:r w:rsidRPr="00C7469A">
        <w:t>to prevent prolonged sick l</w:t>
      </w:r>
      <w:r w:rsidR="00C7469A">
        <w:t>eave</w:t>
      </w:r>
      <w:r w:rsidR="00D07057">
        <w:t>s</w:t>
      </w:r>
      <w:r w:rsidR="00C7469A">
        <w:t xml:space="preserve">, </w:t>
      </w:r>
      <w:r w:rsidR="00300ABC">
        <w:t xml:space="preserve">lower job quality </w:t>
      </w:r>
      <w:r w:rsidR="00D07057">
        <w:t>or even long</w:t>
      </w:r>
      <w:r w:rsidR="00DD617C">
        <w:t>-</w:t>
      </w:r>
      <w:r w:rsidR="00D07057">
        <w:t xml:space="preserve">term unemployment </w:t>
      </w:r>
      <w:r w:rsidR="00300ABC">
        <w:t>for the employees with chronic and long</w:t>
      </w:r>
      <w:r w:rsidR="00DD617C">
        <w:t>-</w:t>
      </w:r>
      <w:r w:rsidR="00300ABC">
        <w:t>term conditions.</w:t>
      </w:r>
    </w:p>
    <w:p w:rsidR="00DA09FD" w:rsidRPr="00720D35" w:rsidRDefault="00720D35" w:rsidP="00720D35">
      <w:pPr>
        <w:spacing w:after="0"/>
        <w:rPr>
          <w:b/>
          <w:color w:val="00B050"/>
        </w:rPr>
      </w:pPr>
      <w:r w:rsidRPr="00720D35">
        <w:rPr>
          <w:b/>
          <w:color w:val="00B050"/>
        </w:rPr>
        <w:t>Question to EPF members:</w:t>
      </w:r>
    </w:p>
    <w:p w:rsidR="006C310C" w:rsidRPr="00720D35" w:rsidRDefault="001F4C00" w:rsidP="007E6DBA">
      <w:pPr>
        <w:pStyle w:val="ListParagraph"/>
        <w:numPr>
          <w:ilvl w:val="0"/>
          <w:numId w:val="7"/>
        </w:numPr>
      </w:pPr>
      <w:r w:rsidRPr="00720D35">
        <w:t>Are there issues around sick leave and return to work in your country/ disease area?</w:t>
      </w:r>
    </w:p>
    <w:p w:rsidR="001F4C00" w:rsidRPr="00720D35" w:rsidRDefault="001F4C00" w:rsidP="00476F91">
      <w:pPr>
        <w:pStyle w:val="ListParagraph"/>
        <w:numPr>
          <w:ilvl w:val="0"/>
          <w:numId w:val="7"/>
        </w:numPr>
        <w:spacing w:after="0"/>
      </w:pPr>
      <w:r w:rsidRPr="00720D35">
        <w:t>Are patients adequately supported? If not</w:t>
      </w:r>
      <w:r w:rsidR="000E4661">
        <w:t>,</w:t>
      </w:r>
      <w:r w:rsidRPr="00720D35">
        <w:t xml:space="preserve"> what needs to change?</w:t>
      </w:r>
    </w:p>
    <w:p w:rsidR="00356E42" w:rsidRDefault="00356E42" w:rsidP="00356E42">
      <w:pPr>
        <w:pStyle w:val="Heading3"/>
      </w:pPr>
      <w:r>
        <w:lastRenderedPageBreak/>
        <w:t>Relation between appropriate healthcare access and patients’ ability TO REMAIN at work</w:t>
      </w:r>
    </w:p>
    <w:p w:rsidR="003E3EC9" w:rsidRDefault="00356E42" w:rsidP="00356E42">
      <w:r>
        <w:t xml:space="preserve">Patients’ organisations often </w:t>
      </w:r>
      <w:r w:rsidR="003E3EC9">
        <w:t xml:space="preserve">note </w:t>
      </w:r>
      <w:r>
        <w:t xml:space="preserve">than in their experience, there is a correlation between patients’ ability to remain at work and appropriate access to healthcare. </w:t>
      </w:r>
      <w:r w:rsidR="00D07057">
        <w:t>For example</w:t>
      </w:r>
      <w:r w:rsidR="000E4661">
        <w:t>,</w:t>
      </w:r>
      <w:r w:rsidR="00D07057">
        <w:t xml:space="preserve"> e</w:t>
      </w:r>
      <w:r>
        <w:t>arly diagnosis is often highlighted as key to ensure</w:t>
      </w:r>
      <w:r w:rsidR="003E3EC9">
        <w:t xml:space="preserve"> patients can remain at work longer.</w:t>
      </w:r>
    </w:p>
    <w:p w:rsidR="0023119F" w:rsidRDefault="0023119F" w:rsidP="0023119F">
      <w:r w:rsidRPr="009849F0">
        <w:t>Patient empowerment and self-management skills may also be useful to patients in the context of managing their conditions in the workplace</w:t>
      </w:r>
      <w:r>
        <w:t>.</w:t>
      </w:r>
      <w:r w:rsidRPr="0023119F">
        <w:t xml:space="preserve"> </w:t>
      </w:r>
      <w:r w:rsidR="006A22B7">
        <w:t>According to the EMPATHIE study</w:t>
      </w:r>
      <w:r w:rsidR="007076C4">
        <w:t>,</w:t>
      </w:r>
      <w:r w:rsidR="006A22B7">
        <w:t xml:space="preserve"> “</w:t>
      </w:r>
      <w:r>
        <w:t xml:space="preserve">An empowered patient has control over the management of their condition in daily life. They take action to improve the quality of their life and have the necessary knowledge, skills, attitudes and self-awareness to adjust their behaviour and to work in partnership with others where necessary, to achieve optimal well-being. </w:t>
      </w:r>
      <w:r w:rsidR="006A22B7">
        <w:t>“</w:t>
      </w:r>
      <w:r w:rsidR="006A22B7">
        <w:rPr>
          <w:rStyle w:val="FootnoteReference"/>
        </w:rPr>
        <w:footnoteReference w:id="36"/>
      </w:r>
    </w:p>
    <w:p w:rsidR="006A22B7" w:rsidRDefault="009849F0" w:rsidP="0023119F">
      <w:r>
        <w:t xml:space="preserve">Self-management </w:t>
      </w:r>
      <w:r w:rsidR="00983ECC">
        <w:t>has been defined by Fit For Work Europe as: “an individual’s ability to manage the symptoms, treatment, physical, social and psychological consequences of living with a chronic condition”.  A study conducted by Fit fo</w:t>
      </w:r>
      <w:r w:rsidR="004B612B">
        <w:t>r Work on patients with musculoskeletal</w:t>
      </w:r>
      <w:r w:rsidR="00983ECC">
        <w:t xml:space="preserve"> conditions has shown that patients </w:t>
      </w:r>
      <w:r w:rsidR="007076C4">
        <w:t>often utilise</w:t>
      </w:r>
      <w:r w:rsidR="00983ECC">
        <w:t xml:space="preserve"> </w:t>
      </w:r>
      <w:r>
        <w:t>self-management</w:t>
      </w:r>
      <w:r w:rsidR="00983ECC">
        <w:t xml:space="preserve"> strategies but are not always supported by other stakeholders</w:t>
      </w:r>
      <w:r>
        <w:t xml:space="preserve"> (line managers, colleagues, healthcare professionals).</w:t>
      </w:r>
      <w:r>
        <w:rPr>
          <w:rStyle w:val="FootnoteReference"/>
        </w:rPr>
        <w:footnoteReference w:id="37"/>
      </w:r>
    </w:p>
    <w:p w:rsidR="00DE3758" w:rsidRDefault="00DE3758" w:rsidP="00645FF5">
      <w:pPr>
        <w:pStyle w:val="Heading2"/>
      </w:pPr>
      <w:r w:rsidRPr="00645FF5">
        <w:t>patients who cannot work</w:t>
      </w:r>
      <w:r w:rsidR="00690F4A">
        <w:t>/ need to retire early due to their conditions</w:t>
      </w:r>
    </w:p>
    <w:p w:rsidR="00D07057" w:rsidRDefault="00D07057" w:rsidP="00216AF5">
      <w:r w:rsidRPr="00D07057">
        <w:t>Some patients cannot work as a result of their illness or/and the secondary effects of the treatment. They should be appropriately supported</w:t>
      </w:r>
      <w:r w:rsidR="00476F91">
        <w:t>, including financially</w:t>
      </w:r>
      <w:r w:rsidRPr="00D07057">
        <w:t xml:space="preserve">. Patients may also retire early as a result of their condition. </w:t>
      </w:r>
    </w:p>
    <w:p w:rsidR="00BE0A90" w:rsidRDefault="006B1029" w:rsidP="00216AF5">
      <w:r>
        <w:t xml:space="preserve">Sometimes, patients may </w:t>
      </w:r>
      <w:r w:rsidR="007D37DB">
        <w:t xml:space="preserve">also </w:t>
      </w:r>
      <w:r>
        <w:t xml:space="preserve">need </w:t>
      </w:r>
      <w:r w:rsidR="00293201">
        <w:t xml:space="preserve">a career </w:t>
      </w:r>
      <w:r>
        <w:t>change to a less phy</w:t>
      </w:r>
      <w:r w:rsidR="00140EA3">
        <w:t>sically demanding</w:t>
      </w:r>
      <w:r w:rsidR="00B25905">
        <w:t xml:space="preserve"> or</w:t>
      </w:r>
      <w:r w:rsidR="00140EA3">
        <w:t xml:space="preserve"> stressful job but support is not always available</w:t>
      </w:r>
      <w:r w:rsidR="00476F91">
        <w:t xml:space="preserve"> to achieve this</w:t>
      </w:r>
      <w:r>
        <w:t>.</w:t>
      </w:r>
    </w:p>
    <w:p w:rsidR="00720D35" w:rsidRPr="00720D35" w:rsidRDefault="00720D35" w:rsidP="00F14B5D">
      <w:pPr>
        <w:spacing w:after="0"/>
        <w:rPr>
          <w:b/>
          <w:color w:val="00B050"/>
        </w:rPr>
      </w:pPr>
      <w:r w:rsidRPr="00720D35">
        <w:rPr>
          <w:b/>
          <w:color w:val="00B050"/>
        </w:rPr>
        <w:t>Questions to EPF members</w:t>
      </w:r>
    </w:p>
    <w:p w:rsidR="0072085E" w:rsidRPr="00720D35" w:rsidRDefault="0072085E" w:rsidP="007E6DBA">
      <w:pPr>
        <w:pStyle w:val="ListParagraph"/>
        <w:numPr>
          <w:ilvl w:val="0"/>
          <w:numId w:val="8"/>
        </w:numPr>
        <w:spacing w:after="0"/>
      </w:pPr>
      <w:r w:rsidRPr="00720D35">
        <w:t xml:space="preserve">Do you have comments regarding stigma attached to patients who cannot work? </w:t>
      </w:r>
    </w:p>
    <w:p w:rsidR="00BE0A90" w:rsidRPr="00720D35" w:rsidRDefault="00BE0A90" w:rsidP="007E6DBA">
      <w:pPr>
        <w:pStyle w:val="ListParagraph"/>
        <w:numPr>
          <w:ilvl w:val="0"/>
          <w:numId w:val="8"/>
        </w:numPr>
        <w:spacing w:after="0"/>
      </w:pPr>
      <w:r w:rsidRPr="00720D35">
        <w:t>Do you have comments regard</w:t>
      </w:r>
      <w:r w:rsidR="005A4836">
        <w:t>ing</w:t>
      </w:r>
      <w:r w:rsidRPr="00720D35">
        <w:t xml:space="preserve"> early retirement</w:t>
      </w:r>
      <w:r w:rsidR="00F14B5D">
        <w:t xml:space="preserve"> due to chronic conditions</w:t>
      </w:r>
      <w:r w:rsidR="00B31478" w:rsidRPr="00720D35">
        <w:t>?</w:t>
      </w:r>
    </w:p>
    <w:p w:rsidR="0072085E" w:rsidRPr="00720D35" w:rsidRDefault="0072085E" w:rsidP="007E6DBA">
      <w:pPr>
        <w:pStyle w:val="ListParagraph"/>
        <w:numPr>
          <w:ilvl w:val="0"/>
          <w:numId w:val="8"/>
        </w:numPr>
        <w:spacing w:after="0"/>
      </w:pPr>
      <w:r w:rsidRPr="00720D35">
        <w:t xml:space="preserve">What measures would you recommend to better support </w:t>
      </w:r>
      <w:r w:rsidR="00F14B5D">
        <w:t>these groups</w:t>
      </w:r>
      <w:r w:rsidRPr="00720D35">
        <w:t xml:space="preserve"> of patients?</w:t>
      </w:r>
    </w:p>
    <w:p w:rsidR="00DE3758" w:rsidRDefault="00DE3758" w:rsidP="00645FF5">
      <w:pPr>
        <w:pStyle w:val="Heading2"/>
      </w:pPr>
      <w:r w:rsidRPr="00645FF5">
        <w:t>occupational</w:t>
      </w:r>
      <w:r w:rsidR="006C310C">
        <w:t xml:space="preserve"> and work related</w:t>
      </w:r>
      <w:r w:rsidRPr="00645FF5">
        <w:t xml:space="preserve"> diseases </w:t>
      </w:r>
    </w:p>
    <w:p w:rsidR="00737B4C" w:rsidRDefault="00D07057" w:rsidP="006C310C">
      <w:r w:rsidRPr="00D07057">
        <w:t>Long</w:t>
      </w:r>
      <w:r w:rsidR="00DD617C">
        <w:t>-</w:t>
      </w:r>
      <w:r w:rsidRPr="00D07057">
        <w:t>term and chronic conditions are sometimes caused by work itself. When work is the main cause</w:t>
      </w:r>
      <w:r w:rsidR="00514E29">
        <w:t xml:space="preserve"> of a condition</w:t>
      </w:r>
      <w:r w:rsidRPr="00D07057">
        <w:t xml:space="preserve">, it is classified as </w:t>
      </w:r>
      <w:r w:rsidR="005A4836">
        <w:t xml:space="preserve">an </w:t>
      </w:r>
      <w:r w:rsidRPr="00D07057">
        <w:t>occupational disease. When work is one of several factors causing the illness among other causes, it is classified as work-related disease. In this case, the EU and Member States have specific policies in place, called occupational health and safety policies.</w:t>
      </w:r>
    </w:p>
    <w:p w:rsidR="00D07057" w:rsidRPr="006C310C" w:rsidRDefault="00D07057" w:rsidP="006C310C">
      <w:r w:rsidRPr="00D07057">
        <w:lastRenderedPageBreak/>
        <w:t xml:space="preserve">EPF responded in 2013 to the European Commission’s consultation on the next health and safety at work strategy. We provided key recommendations on addressing the needs of patients with chronic conditions through occupational health and safety policies: </w:t>
      </w:r>
      <w:hyperlink r:id="rId15" w:history="1">
        <w:r w:rsidRPr="00512C1A">
          <w:rPr>
            <w:rStyle w:val="Hyperlink"/>
          </w:rPr>
          <w:t>http://www.eu-patient.eu/globalassets/policy/anti-discrimmination/epf-response-osh-2013.pdf</w:t>
        </w:r>
      </w:hyperlink>
      <w:r>
        <w:t xml:space="preserve"> .</w:t>
      </w:r>
    </w:p>
    <w:p w:rsidR="00C60F09" w:rsidRPr="00F83BD1" w:rsidRDefault="00DB64F0" w:rsidP="00DB64F0">
      <w:pPr>
        <w:pStyle w:val="Heading1"/>
        <w:rPr>
          <w:lang w:val="fr-FR"/>
        </w:rPr>
      </w:pPr>
      <w:r w:rsidRPr="00F83BD1">
        <w:rPr>
          <w:noProof/>
          <w:lang w:val="fr-FR" w:eastAsia="en-GB"/>
        </w:rPr>
        <w:t>Patients’ stories</w:t>
      </w:r>
      <w:r w:rsidR="00F83BD1" w:rsidRPr="00F83BD1">
        <w:rPr>
          <w:noProof/>
          <w:lang w:val="fr-FR" w:eastAsia="en-GB"/>
        </w:rPr>
        <w:t xml:space="preserve"> &amp; Patient organisations’ initiatives</w:t>
      </w:r>
    </w:p>
    <w:p w:rsidR="00F83BD1" w:rsidRDefault="00A45A1C" w:rsidP="00F83BD1">
      <w:pPr>
        <w:ind w:left="360"/>
      </w:pPr>
      <w:r>
        <w:t xml:space="preserve">In July 2013, Alzheimer Europe, the European </w:t>
      </w:r>
      <w:r w:rsidR="009E3BDE">
        <w:t>Multiple</w:t>
      </w:r>
      <w:r>
        <w:t xml:space="preserve"> Sclerosis Platform and the European Parkinson Diseases’ Association co-organised the panel discussion “</w:t>
      </w:r>
      <w:r w:rsidRPr="00A45A1C">
        <w:t>The Challenges of Neurodegenerative Diseases in the Workplace: what can be done at EU level?</w:t>
      </w:r>
      <w:r>
        <w:t>” at the European Parliament.</w:t>
      </w:r>
      <w:r>
        <w:rPr>
          <w:rStyle w:val="FootnoteReference"/>
        </w:rPr>
        <w:footnoteReference w:id="38"/>
      </w:r>
    </w:p>
    <w:p w:rsidR="00752416" w:rsidRDefault="00720D35" w:rsidP="00720D35">
      <w:pPr>
        <w:ind w:left="360"/>
      </w:pPr>
      <w:r>
        <w:t>The European Federation for Allergies and Airways Diseases Patients Associations organised a workshop on</w:t>
      </w:r>
      <w:r w:rsidR="009E3BDE">
        <w:t xml:space="preserve"> COPD at work</w:t>
      </w:r>
      <w:r w:rsidR="005A4836">
        <w:t xml:space="preserve">. The outcomes of the workshop </w:t>
      </w:r>
      <w:r w:rsidR="003A0419">
        <w:t>showed that</w:t>
      </w:r>
      <w:r w:rsidR="00752416">
        <w:t xml:space="preserve"> with adequate support from employers</w:t>
      </w:r>
      <w:r w:rsidR="0022747F">
        <w:t>,</w:t>
      </w:r>
      <w:r w:rsidR="00752416">
        <w:t xml:space="preserve"> patients can continue working. It also demonstrate</w:t>
      </w:r>
      <w:r w:rsidR="0022747F">
        <w:t>d</w:t>
      </w:r>
      <w:r w:rsidR="00752416">
        <w:t xml:space="preserve"> the need to work across </w:t>
      </w:r>
      <w:r w:rsidR="005A4836">
        <w:t xml:space="preserve">disease </w:t>
      </w:r>
      <w:r w:rsidR="00752416">
        <w:t>area</w:t>
      </w:r>
      <w:r w:rsidR="005A4836">
        <w:t>s</w:t>
      </w:r>
      <w:r w:rsidR="0013099A">
        <w:t>,</w:t>
      </w:r>
      <w:r w:rsidR="00752416">
        <w:t xml:space="preserve"> as high quality care, and development of self-care and measures to empower patients can contribute to their ability to </w:t>
      </w:r>
      <w:r>
        <w:t>remain at work.</w:t>
      </w:r>
      <w:r w:rsidR="009E3BDE">
        <w:rPr>
          <w:rStyle w:val="FootnoteReference"/>
        </w:rPr>
        <w:footnoteReference w:id="39"/>
      </w:r>
    </w:p>
    <w:p w:rsidR="00F83BD1" w:rsidRDefault="009E3BDE" w:rsidP="00F83BD1">
      <w:pPr>
        <w:ind w:left="360"/>
      </w:pPr>
      <w:r>
        <w:t>The European Multiple Sclerosis Platform also launched a European Pact for Employment, directed at businesses, to encourage their commitment to provide sustainable employment for people with MS.</w:t>
      </w:r>
      <w:r>
        <w:rPr>
          <w:rStyle w:val="FootnoteReference"/>
        </w:rPr>
        <w:footnoteReference w:id="40"/>
      </w:r>
    </w:p>
    <w:p w:rsidR="00660870" w:rsidRDefault="00660870" w:rsidP="00F83BD1">
      <w:pPr>
        <w:ind w:left="360"/>
      </w:pPr>
      <w:r>
        <w:t>G</w:t>
      </w:r>
      <w:r w:rsidR="0022747F">
        <w:t>AMIAN-</w:t>
      </w:r>
      <w:r>
        <w:t xml:space="preserve">Europe conducted a survey in 2013 on </w:t>
      </w:r>
      <w:r w:rsidR="00140EA3">
        <w:t>mental illnesses</w:t>
      </w:r>
      <w:r>
        <w:t xml:space="preserve"> at work</w:t>
      </w:r>
      <w:r w:rsidR="00514E29">
        <w:t>,</w:t>
      </w:r>
      <w:r>
        <w:t xml:space="preserve"> which was presented in the European Parliament</w:t>
      </w:r>
      <w:r w:rsidR="00FB7AB0">
        <w:t xml:space="preserve"> in a meeting focusing on mental health and societal integration</w:t>
      </w:r>
      <w:r>
        <w:t>.</w:t>
      </w:r>
      <w:r>
        <w:rPr>
          <w:rStyle w:val="FootnoteReference"/>
        </w:rPr>
        <w:footnoteReference w:id="41"/>
      </w:r>
    </w:p>
    <w:p w:rsidR="00FA5DA5" w:rsidRDefault="00FA5DA5" w:rsidP="00FA5DA5">
      <w:pPr>
        <w:spacing w:after="0"/>
        <w:ind w:left="360"/>
        <w:rPr>
          <w:b/>
          <w:color w:val="00B050"/>
        </w:rPr>
      </w:pPr>
      <w:r w:rsidRPr="00D60654">
        <w:rPr>
          <w:b/>
          <w:color w:val="00B050"/>
        </w:rPr>
        <w:t>Question to EPF members:</w:t>
      </w:r>
    </w:p>
    <w:p w:rsidR="00D60654" w:rsidRDefault="00E756BE" w:rsidP="007E6DBA">
      <w:pPr>
        <w:pStyle w:val="ListParagraph"/>
        <w:numPr>
          <w:ilvl w:val="0"/>
          <w:numId w:val="12"/>
        </w:numPr>
      </w:pPr>
      <w:r>
        <w:rPr>
          <w:b/>
        </w:rPr>
        <w:t>Has y</w:t>
      </w:r>
      <w:r w:rsidR="00D60654" w:rsidRPr="00D60654">
        <w:rPr>
          <w:b/>
        </w:rPr>
        <w:t>our organisation (or members) done an initiative in relation to this topic?</w:t>
      </w:r>
      <w:r w:rsidR="00D60654">
        <w:t xml:space="preserve"> Please share with us by providing a link (event report/project/survey/other) and a s</w:t>
      </w:r>
      <w:r w:rsidR="00D07057">
        <w:t>hort</w:t>
      </w:r>
      <w:r w:rsidR="00D60654">
        <w:t xml:space="preserve"> paragraph describing the initiative which we will include in the position paper.</w:t>
      </w:r>
    </w:p>
    <w:p w:rsidR="00BF055D" w:rsidRDefault="00D60654" w:rsidP="007E6DBA">
      <w:pPr>
        <w:pStyle w:val="ListParagraph"/>
        <w:numPr>
          <w:ilvl w:val="0"/>
          <w:numId w:val="12"/>
        </w:numPr>
      </w:pPr>
      <w:r w:rsidRPr="00BF055D">
        <w:rPr>
          <w:b/>
        </w:rPr>
        <w:t>You ca</w:t>
      </w:r>
      <w:r w:rsidR="00BF055D" w:rsidRPr="00BF055D">
        <w:rPr>
          <w:b/>
        </w:rPr>
        <w:t>n also share a relevant patients’ quote</w:t>
      </w:r>
      <w:r>
        <w:t xml:space="preserve">, which we can use within this paper </w:t>
      </w:r>
    </w:p>
    <w:p w:rsidR="00FA5DA5" w:rsidRDefault="00FA5DA5" w:rsidP="007E6DBA">
      <w:pPr>
        <w:pStyle w:val="ListParagraph"/>
        <w:numPr>
          <w:ilvl w:val="0"/>
          <w:numId w:val="12"/>
        </w:numPr>
      </w:pPr>
      <w:r>
        <w:t xml:space="preserve">What do you think </w:t>
      </w:r>
      <w:r w:rsidRPr="00BF055D">
        <w:rPr>
          <w:b/>
        </w:rPr>
        <w:t>the role of patients’ organisations</w:t>
      </w:r>
      <w:r>
        <w:t xml:space="preserve"> </w:t>
      </w:r>
      <w:r w:rsidR="00D60654">
        <w:t>can be in relation to supporting patients in</w:t>
      </w:r>
      <w:r w:rsidR="00D1770A">
        <w:t xml:space="preserve"> education? And in</w:t>
      </w:r>
      <w:r w:rsidR="00D60654">
        <w:t xml:space="preserve"> the workplace? </w:t>
      </w:r>
      <w:r w:rsidR="0013099A">
        <w:t xml:space="preserve">(E.g. developing resources, workshops etc…) </w:t>
      </w:r>
      <w:r w:rsidR="00D60654">
        <w:t xml:space="preserve">What type of support would </w:t>
      </w:r>
      <w:r w:rsidR="004659A4">
        <w:t>organisations</w:t>
      </w:r>
      <w:r w:rsidR="00D60654">
        <w:t xml:space="preserve"> need to achieve this?</w:t>
      </w:r>
    </w:p>
    <w:p w:rsidR="00DB64F0" w:rsidRDefault="0039648C" w:rsidP="00DB64F0">
      <w:pPr>
        <w:pStyle w:val="Heading1"/>
      </w:pPr>
      <w:r>
        <w:lastRenderedPageBreak/>
        <w:t xml:space="preserve">Supporting </w:t>
      </w:r>
      <w:r w:rsidR="005906BD">
        <w:t xml:space="preserve">equal treatment of </w:t>
      </w:r>
      <w:r>
        <w:t xml:space="preserve">patients in education and in the workplace: </w:t>
      </w:r>
      <w:r w:rsidR="006479EA">
        <w:t>Recommendations</w:t>
      </w:r>
    </w:p>
    <w:p w:rsidR="00356E42" w:rsidRPr="00F31B0B" w:rsidRDefault="00356E42" w:rsidP="00356E42">
      <w:r w:rsidRPr="001B7E7B">
        <w:t xml:space="preserve">In order to establish equal treatment in education and at the workplace for patients with chronic diseases, EPF believes </w:t>
      </w:r>
      <w:r w:rsidR="000D0F6C" w:rsidRPr="001B7E7B">
        <w:t xml:space="preserve">that various actors from the health, education and employment sectors need to be involved in </w:t>
      </w:r>
      <w:r w:rsidR="00C50E63">
        <w:t>implementing</w:t>
      </w:r>
      <w:r w:rsidR="000D0F6C" w:rsidRPr="001B7E7B">
        <w:t xml:space="preserve"> an equal treatment strategy. This includes decision makers at EU and national level, as well as the EU OSHA and other agencies responsible for occupational health and safety</w:t>
      </w:r>
      <w:r w:rsidR="00484CF5" w:rsidRPr="001B7E7B">
        <w:t xml:space="preserve">, association of employers, </w:t>
      </w:r>
      <w:r w:rsidR="001B7E7B">
        <w:t>associations</w:t>
      </w:r>
      <w:r w:rsidR="00484CF5" w:rsidRPr="001B7E7B">
        <w:t xml:space="preserve"> </w:t>
      </w:r>
      <w:r w:rsidR="00F14B5D">
        <w:t xml:space="preserve">that are </w:t>
      </w:r>
      <w:r w:rsidR="00484CF5" w:rsidRPr="001B7E7B">
        <w:t>a</w:t>
      </w:r>
      <w:r w:rsidR="00F14B5D">
        <w:t>ctive in the field of education</w:t>
      </w:r>
      <w:r w:rsidR="00514E29">
        <w:t>,</w:t>
      </w:r>
      <w:r w:rsidR="00F14B5D">
        <w:t xml:space="preserve"> and</w:t>
      </w:r>
      <w:r w:rsidR="00484CF5" w:rsidRPr="001B7E7B">
        <w:t xml:space="preserve"> healthcare professionals.</w:t>
      </w:r>
    </w:p>
    <w:p w:rsidR="00356E42" w:rsidRDefault="005A0C72" w:rsidP="000D0F6C">
      <w:pPr>
        <w:pStyle w:val="Heading2"/>
      </w:pPr>
      <w:r w:rsidRPr="000D0F6C">
        <w:t>ESTABLISHING APPROPRIATE</w:t>
      </w:r>
      <w:r w:rsidR="00356E42" w:rsidRPr="000D0F6C">
        <w:t xml:space="preserve"> </w:t>
      </w:r>
      <w:r w:rsidR="00FC513D">
        <w:t>Rights and legislation for patients with chronic diseases</w:t>
      </w:r>
    </w:p>
    <w:p w:rsidR="001B7E7B" w:rsidRDefault="001B7E7B" w:rsidP="007D37DB">
      <w:pPr>
        <w:pStyle w:val="ListParagraph"/>
        <w:numPr>
          <w:ilvl w:val="0"/>
          <w:numId w:val="20"/>
        </w:numPr>
      </w:pPr>
      <w:r w:rsidRPr="001B7E7B">
        <w:t xml:space="preserve">EPF recommends that </w:t>
      </w:r>
      <w:r w:rsidRPr="005906BD">
        <w:rPr>
          <w:b/>
        </w:rPr>
        <w:t>EU</w:t>
      </w:r>
      <w:r w:rsidR="00D07057">
        <w:rPr>
          <w:rStyle w:val="FootnoteReference"/>
          <w:b/>
        </w:rPr>
        <w:footnoteReference w:id="42"/>
      </w:r>
      <w:r w:rsidRPr="005906BD">
        <w:rPr>
          <w:b/>
        </w:rPr>
        <w:t xml:space="preserve"> and Member States’ legislation on equal treatment in workplaces</w:t>
      </w:r>
      <w:r w:rsidRPr="001B7E7B">
        <w:t xml:space="preserve"> should also prohibit discrimination </w:t>
      </w:r>
      <w:r w:rsidR="00EE2E88">
        <w:t xml:space="preserve">based </w:t>
      </w:r>
      <w:r w:rsidRPr="001B7E7B">
        <w:t>on health status/chronic conditions</w:t>
      </w:r>
    </w:p>
    <w:p w:rsidR="00EB3AB4" w:rsidRDefault="00EB3AB4" w:rsidP="007D37DB">
      <w:pPr>
        <w:pStyle w:val="ListParagraph"/>
        <w:numPr>
          <w:ilvl w:val="0"/>
          <w:numId w:val="20"/>
        </w:numPr>
      </w:pPr>
      <w:r>
        <w:t xml:space="preserve">The EU and Member States should also provide for clear </w:t>
      </w:r>
      <w:r w:rsidRPr="005906BD">
        <w:rPr>
          <w:b/>
        </w:rPr>
        <w:t>rights to adjustments and accommodation</w:t>
      </w:r>
      <w:r w:rsidR="005906BD">
        <w:rPr>
          <w:b/>
        </w:rPr>
        <w:t>s</w:t>
      </w:r>
      <w:r w:rsidR="00E640CD">
        <w:rPr>
          <w:b/>
        </w:rPr>
        <w:t xml:space="preserve"> in education and at work,</w:t>
      </w:r>
      <w:r>
        <w:t xml:space="preserve"> and take initiative to encourage implementation of these rights</w:t>
      </w:r>
    </w:p>
    <w:p w:rsidR="001B7E7B" w:rsidRDefault="001B7E7B" w:rsidP="007D37DB">
      <w:pPr>
        <w:pStyle w:val="ListParagraph"/>
        <w:numPr>
          <w:ilvl w:val="0"/>
          <w:numId w:val="20"/>
        </w:numPr>
      </w:pPr>
      <w:r>
        <w:t xml:space="preserve">While </w:t>
      </w:r>
      <w:r w:rsidRPr="005906BD">
        <w:rPr>
          <w:b/>
        </w:rPr>
        <w:t>access to a profession</w:t>
      </w:r>
      <w:r w:rsidR="00FE783F">
        <w:t xml:space="preserve"> </w:t>
      </w:r>
      <w:r>
        <w:t xml:space="preserve">may sometimes need to be restricted for some conditions, limitations need to be justified and </w:t>
      </w:r>
      <w:r w:rsidR="004B612B">
        <w:t>restricted</w:t>
      </w:r>
      <w:r>
        <w:t xml:space="preserve"> to what is necessary. Healthcare professionals should be objective in assessing </w:t>
      </w:r>
      <w:r w:rsidR="000C641C">
        <w:t xml:space="preserve">a patient’s </w:t>
      </w:r>
      <w:r>
        <w:t xml:space="preserve">ability to </w:t>
      </w:r>
      <w:r w:rsidR="000C641C">
        <w:t xml:space="preserve">fully or partially </w:t>
      </w:r>
      <w:r>
        <w:t xml:space="preserve">perform a job.  </w:t>
      </w:r>
      <w:r w:rsidR="00395672">
        <w:t>Lists that exclude</w:t>
      </w:r>
      <w:r w:rsidR="00F25051">
        <w:t xml:space="preserve"> </w:t>
      </w:r>
      <w:r w:rsidR="004B612B">
        <w:t xml:space="preserve">patients with </w:t>
      </w:r>
      <w:r w:rsidR="00F25051">
        <w:t>some conditions from entering a profession,</w:t>
      </w:r>
      <w:r>
        <w:t xml:space="preserve"> where they exist</w:t>
      </w:r>
      <w:r w:rsidR="004659A4">
        <w:t>,</w:t>
      </w:r>
      <w:r>
        <w:t xml:space="preserve"> need to be reviewed by decision makers with the involvement of all parties, including patient organisations.</w:t>
      </w:r>
      <w:r w:rsidR="000C641C">
        <w:t xml:space="preserve"> </w:t>
      </w:r>
    </w:p>
    <w:p w:rsidR="004659A4" w:rsidRDefault="00F31B0B" w:rsidP="004659A4">
      <w:pPr>
        <w:pStyle w:val="ListParagraph"/>
        <w:numPr>
          <w:ilvl w:val="0"/>
          <w:numId w:val="20"/>
        </w:numPr>
      </w:pPr>
      <w:r w:rsidRPr="00F31B0B">
        <w:t xml:space="preserve">The impact of </w:t>
      </w:r>
      <w:r w:rsidR="00005589">
        <w:t xml:space="preserve">various </w:t>
      </w:r>
      <w:r w:rsidR="00005589" w:rsidRPr="005906BD">
        <w:rPr>
          <w:b/>
        </w:rPr>
        <w:t>sick leave</w:t>
      </w:r>
      <w:r w:rsidR="00005589">
        <w:t xml:space="preserve"> organisations and legislation need</w:t>
      </w:r>
      <w:r w:rsidR="002B1C9D">
        <w:t>s</w:t>
      </w:r>
      <w:r w:rsidR="00005589">
        <w:t xml:space="preserve"> to be further studied, including impact on the patients, their health outcome</w:t>
      </w:r>
      <w:r w:rsidR="002B1C9D">
        <w:t>s</w:t>
      </w:r>
      <w:r w:rsidR="00005589">
        <w:t xml:space="preserve"> and consequences on their career.</w:t>
      </w:r>
    </w:p>
    <w:p w:rsidR="00EB3AB4" w:rsidRPr="00F31B0B" w:rsidRDefault="005906BD" w:rsidP="004659A4">
      <w:pPr>
        <w:pStyle w:val="ListParagraph"/>
        <w:numPr>
          <w:ilvl w:val="0"/>
          <w:numId w:val="20"/>
        </w:numPr>
      </w:pPr>
      <w:r w:rsidRPr="005906BD">
        <w:rPr>
          <w:b/>
        </w:rPr>
        <w:t>Patients facing</w:t>
      </w:r>
      <w:r w:rsidR="00EB3AB4" w:rsidRPr="005906BD">
        <w:rPr>
          <w:b/>
        </w:rPr>
        <w:t xml:space="preserve"> discrimination</w:t>
      </w:r>
      <w:r w:rsidR="00EB3AB4">
        <w:t xml:space="preserve"> should have access to mediation, complaint and redress mechanisms at national level, and appropriate independent support structure to seek reparation.</w:t>
      </w:r>
    </w:p>
    <w:p w:rsidR="00356E42" w:rsidRDefault="00356E42" w:rsidP="00484CF5">
      <w:pPr>
        <w:pStyle w:val="Heading2"/>
      </w:pPr>
      <w:r>
        <w:t>Information, training and awareness raising</w:t>
      </w:r>
    </w:p>
    <w:p w:rsidR="001B7E7B" w:rsidRPr="006B619A" w:rsidRDefault="001B7E7B" w:rsidP="006479EA">
      <w:pPr>
        <w:spacing w:after="0"/>
        <w:rPr>
          <w:b/>
          <w:color w:val="00B050"/>
        </w:rPr>
      </w:pPr>
      <w:r w:rsidRPr="006B619A">
        <w:rPr>
          <w:b/>
          <w:color w:val="00B050"/>
        </w:rPr>
        <w:t>In education</w:t>
      </w:r>
      <w:r w:rsidR="006479EA" w:rsidRPr="006B619A">
        <w:rPr>
          <w:b/>
          <w:color w:val="00B050"/>
        </w:rPr>
        <w:t>:</w:t>
      </w:r>
    </w:p>
    <w:p w:rsidR="001B7E7B" w:rsidRDefault="00FE783F" w:rsidP="007D37DB">
      <w:pPr>
        <w:pStyle w:val="ListParagraph"/>
        <w:numPr>
          <w:ilvl w:val="0"/>
          <w:numId w:val="18"/>
        </w:numPr>
      </w:pPr>
      <w:r w:rsidRPr="00F14B5D">
        <w:rPr>
          <w:b/>
        </w:rPr>
        <w:t>Communication</w:t>
      </w:r>
      <w:r w:rsidR="001B7E7B" w:rsidRPr="00F14B5D">
        <w:rPr>
          <w:b/>
        </w:rPr>
        <w:t xml:space="preserve"> within the educational </w:t>
      </w:r>
      <w:r w:rsidR="00395672">
        <w:rPr>
          <w:b/>
        </w:rPr>
        <w:t>institutions</w:t>
      </w:r>
      <w:r w:rsidR="001B7E7B">
        <w:t xml:space="preserve">: Staff in educational </w:t>
      </w:r>
      <w:r w:rsidR="00395672">
        <w:t>institutions</w:t>
      </w:r>
      <w:r w:rsidR="001B7E7B">
        <w:t xml:space="preserve"> should be appropriately trained to support young patients with chronic diseases. The direction should ensure, with the consent of the students and their parents, </w:t>
      </w:r>
      <w:r w:rsidR="006B619A">
        <w:t xml:space="preserve">that </w:t>
      </w:r>
      <w:r w:rsidR="001B7E7B">
        <w:t>professors and other staff members (school nurse</w:t>
      </w:r>
      <w:r w:rsidR="002B1C9D">
        <w:t xml:space="preserve">, </w:t>
      </w:r>
      <w:r w:rsidR="001B7E7B">
        <w:t>etc…) are appropriately informed about the condition and its consequences, as well as necessary adaptations.</w:t>
      </w:r>
    </w:p>
    <w:p w:rsidR="005A0C72" w:rsidRDefault="005A0C72" w:rsidP="007D37DB">
      <w:pPr>
        <w:pStyle w:val="ListParagraph"/>
        <w:numPr>
          <w:ilvl w:val="0"/>
          <w:numId w:val="18"/>
        </w:numPr>
      </w:pPr>
      <w:r w:rsidRPr="005A0C72">
        <w:t xml:space="preserve">Staff in charge of the implementation of </w:t>
      </w:r>
      <w:r w:rsidR="002B1C9D">
        <w:t xml:space="preserve">the </w:t>
      </w:r>
      <w:r w:rsidRPr="005A0C72">
        <w:rPr>
          <w:b/>
        </w:rPr>
        <w:t>ERASMUS programme</w:t>
      </w:r>
      <w:r w:rsidRPr="005A0C72">
        <w:t xml:space="preserve"> should be able to provide appropriate support and direct patients with chronic diseases to appropriate contact </w:t>
      </w:r>
      <w:r w:rsidRPr="005A0C72">
        <w:lastRenderedPageBreak/>
        <w:t>points to ensure they have access to quality treatment and care abroad.</w:t>
      </w:r>
      <w:r w:rsidR="00FE783F">
        <w:t xml:space="preserve"> They should collaborate with National Contact Points for cross-border healthcare</w:t>
      </w:r>
      <w:r w:rsidR="002B1C9D">
        <w:t>, when appropriate</w:t>
      </w:r>
      <w:r w:rsidR="00FE783F">
        <w:t>.</w:t>
      </w:r>
    </w:p>
    <w:p w:rsidR="007012BE" w:rsidRDefault="005A0C72" w:rsidP="00AA1DC7">
      <w:pPr>
        <w:pStyle w:val="ListParagraph"/>
        <w:numPr>
          <w:ilvl w:val="0"/>
          <w:numId w:val="18"/>
        </w:numPr>
      </w:pPr>
      <w:r w:rsidRPr="005A0C72">
        <w:rPr>
          <w:b/>
        </w:rPr>
        <w:t>Ministries of education</w:t>
      </w:r>
      <w:r w:rsidRPr="005A0C72">
        <w:t xml:space="preserve"> could </w:t>
      </w:r>
      <w:r w:rsidR="00D00E10">
        <w:t>provide</w:t>
      </w:r>
      <w:r w:rsidRPr="005A0C72">
        <w:t xml:space="preserve"> an online webpage for advice on equal treatment of students with chronic conditions, designed for students and for staff or institutions. They could also develop and disseminate guidelines. </w:t>
      </w:r>
      <w:r w:rsidR="006B619A">
        <w:t>Such i</w:t>
      </w:r>
      <w:r w:rsidRPr="005A0C72">
        <w:t>nformation and guidelines should be developed in consultation with appropriate stakeholders including patient organisations.</w:t>
      </w:r>
    </w:p>
    <w:p w:rsidR="001B7E7B" w:rsidRPr="007D37DB" w:rsidRDefault="001B7E7B" w:rsidP="006479EA">
      <w:pPr>
        <w:spacing w:after="0"/>
        <w:rPr>
          <w:b/>
          <w:color w:val="00B050"/>
        </w:rPr>
      </w:pPr>
      <w:r w:rsidRPr="007D37DB">
        <w:rPr>
          <w:b/>
          <w:color w:val="00B050"/>
        </w:rPr>
        <w:t>At work:</w:t>
      </w:r>
    </w:p>
    <w:p w:rsidR="005A0C72" w:rsidRDefault="005A0C72" w:rsidP="007D37DB">
      <w:pPr>
        <w:pStyle w:val="ListParagraph"/>
        <w:numPr>
          <w:ilvl w:val="0"/>
          <w:numId w:val="19"/>
        </w:numPr>
      </w:pPr>
      <w:r w:rsidRPr="005A0C72">
        <w:rPr>
          <w:b/>
        </w:rPr>
        <w:t>Actions</w:t>
      </w:r>
      <w:r>
        <w:rPr>
          <w:b/>
        </w:rPr>
        <w:t xml:space="preserve"> and campaign</w:t>
      </w:r>
      <w:r w:rsidRPr="005A0C72">
        <w:rPr>
          <w:b/>
        </w:rPr>
        <w:t xml:space="preserve"> to raise awareness </w:t>
      </w:r>
      <w:r w:rsidR="006B619A">
        <w:rPr>
          <w:b/>
        </w:rPr>
        <w:t xml:space="preserve">at EU and national level, </w:t>
      </w:r>
      <w:r>
        <w:t xml:space="preserve">within </w:t>
      </w:r>
      <w:r w:rsidR="007D37DB">
        <w:t xml:space="preserve">educational institutions, </w:t>
      </w:r>
      <w:r>
        <w:t>companies, trade unions and for the public</w:t>
      </w:r>
      <w:r w:rsidR="007012BE">
        <w:t>,</w:t>
      </w:r>
      <w:r>
        <w:t xml:space="preserve"> could contribute significantly to tackling stigma faced by patients with chronic diseases. It is also important to inform workers, employers and human resources managers about existing rules and rights.</w:t>
      </w:r>
    </w:p>
    <w:p w:rsidR="006C6B49" w:rsidRDefault="006B619A" w:rsidP="007D37DB">
      <w:pPr>
        <w:pStyle w:val="ListParagraph"/>
        <w:numPr>
          <w:ilvl w:val="0"/>
          <w:numId w:val="19"/>
        </w:numPr>
      </w:pPr>
      <w:r>
        <w:rPr>
          <w:b/>
        </w:rPr>
        <w:t xml:space="preserve">Appropriate ministries or authorities should make </w:t>
      </w:r>
      <w:r w:rsidR="006C6B49">
        <w:rPr>
          <w:b/>
        </w:rPr>
        <w:t xml:space="preserve">available </w:t>
      </w:r>
      <w:r>
        <w:rPr>
          <w:b/>
        </w:rPr>
        <w:t xml:space="preserve">policies </w:t>
      </w:r>
      <w:r w:rsidR="006C6B49">
        <w:rPr>
          <w:b/>
        </w:rPr>
        <w:t xml:space="preserve">to employees and managers </w:t>
      </w:r>
      <w:r w:rsidR="006C6B49" w:rsidRPr="006C6B49">
        <w:t>regarding chronic and long</w:t>
      </w:r>
      <w:r w:rsidR="00DD617C">
        <w:t>-</w:t>
      </w:r>
      <w:r w:rsidR="006C6B49" w:rsidRPr="006C6B49">
        <w:t>term conditions at work.</w:t>
      </w:r>
    </w:p>
    <w:p w:rsidR="005A0C72" w:rsidRPr="00020082" w:rsidRDefault="00020082" w:rsidP="00020082">
      <w:pPr>
        <w:pStyle w:val="ListParagraph"/>
        <w:numPr>
          <w:ilvl w:val="0"/>
          <w:numId w:val="19"/>
        </w:numPr>
      </w:pPr>
      <w:r w:rsidRPr="00020082">
        <w:t xml:space="preserve">The EU should encourage Member States to </w:t>
      </w:r>
      <w:r w:rsidR="007012BE">
        <w:t>provide</w:t>
      </w:r>
      <w:r w:rsidRPr="00020082">
        <w:t xml:space="preserve"> </w:t>
      </w:r>
      <w:r w:rsidRPr="00020082">
        <w:rPr>
          <w:b/>
        </w:rPr>
        <w:t>one stop shop websites</w:t>
      </w:r>
      <w:r w:rsidRPr="00020082">
        <w:t xml:space="preserve"> to inform employees with chronic and long</w:t>
      </w:r>
      <w:r w:rsidR="00DD617C">
        <w:t>-</w:t>
      </w:r>
      <w:r w:rsidRPr="00020082">
        <w:t>term conditions and employers about the rights of patients at work, and resources to support their implementation.</w:t>
      </w:r>
    </w:p>
    <w:p w:rsidR="00356E42" w:rsidRDefault="00356E42" w:rsidP="00484CF5">
      <w:pPr>
        <w:pStyle w:val="Heading2"/>
      </w:pPr>
      <w:r w:rsidRPr="00542B57">
        <w:t>Creating supporti</w:t>
      </w:r>
      <w:r>
        <w:t>ve</w:t>
      </w:r>
      <w:r w:rsidRPr="00542B57">
        <w:t xml:space="preserve"> </w:t>
      </w:r>
      <w:r w:rsidR="00303367">
        <w:t xml:space="preserve">Patient-friendly </w:t>
      </w:r>
      <w:r w:rsidRPr="00542B57">
        <w:t>environment</w:t>
      </w:r>
      <w:r w:rsidR="00395672">
        <w:t>s</w:t>
      </w:r>
      <w:r w:rsidRPr="00542B57">
        <w:t xml:space="preserve"> for patients</w:t>
      </w:r>
    </w:p>
    <w:p w:rsidR="004B612B" w:rsidRDefault="005A0C72" w:rsidP="00395672">
      <w:pPr>
        <w:spacing w:after="0"/>
        <w:rPr>
          <w:b/>
          <w:color w:val="00B050"/>
        </w:rPr>
      </w:pPr>
      <w:r w:rsidRPr="006C6B49">
        <w:rPr>
          <w:b/>
          <w:color w:val="00B050"/>
        </w:rPr>
        <w:t>In education:</w:t>
      </w:r>
      <w:r w:rsidR="00395672">
        <w:rPr>
          <w:b/>
          <w:color w:val="00B050"/>
        </w:rPr>
        <w:t xml:space="preserve"> </w:t>
      </w:r>
    </w:p>
    <w:p w:rsidR="001B7E7B" w:rsidRDefault="006B619A" w:rsidP="004B612B">
      <w:pPr>
        <w:pStyle w:val="ListParagraph"/>
        <w:numPr>
          <w:ilvl w:val="0"/>
          <w:numId w:val="24"/>
        </w:numPr>
        <w:spacing w:after="0"/>
      </w:pPr>
      <w:r>
        <w:t>Educational institutions</w:t>
      </w:r>
      <w:r w:rsidR="001B7E7B">
        <w:t xml:space="preserve"> should be </w:t>
      </w:r>
      <w:r w:rsidR="001B7E7B" w:rsidRPr="004B612B">
        <w:rPr>
          <w:b/>
        </w:rPr>
        <w:t>proactive in offering support</w:t>
      </w:r>
      <w:r w:rsidR="001B7E7B">
        <w:t xml:space="preserve"> to young patients, pointing them </w:t>
      </w:r>
      <w:r w:rsidR="007012BE">
        <w:t>towards</w:t>
      </w:r>
      <w:r w:rsidR="001B7E7B">
        <w:t xml:space="preserve"> the right point of contact, </w:t>
      </w:r>
      <w:r w:rsidR="004B612B">
        <w:t>and</w:t>
      </w:r>
      <w:r w:rsidR="001B7E7B">
        <w:t xml:space="preserve"> providing information on their website. Patients may need more than punctual accommodations, and should receive continuous support, reviewed after an appropriate period of time involving the young student.</w:t>
      </w:r>
    </w:p>
    <w:p w:rsidR="004B612B" w:rsidRPr="004B612B" w:rsidRDefault="004B612B" w:rsidP="004B612B">
      <w:pPr>
        <w:pStyle w:val="ListParagraph"/>
        <w:numPr>
          <w:ilvl w:val="0"/>
          <w:numId w:val="24"/>
        </w:numPr>
      </w:pPr>
      <w:r w:rsidRPr="004B612B">
        <w:rPr>
          <w:b/>
        </w:rPr>
        <w:t>Management of absences in class and exam</w:t>
      </w:r>
      <w:r w:rsidR="007012BE">
        <w:rPr>
          <w:b/>
        </w:rPr>
        <w:t>s</w:t>
      </w:r>
      <w:r w:rsidRPr="004B612B">
        <w:rPr>
          <w:b/>
        </w:rPr>
        <w:t>:</w:t>
      </w:r>
      <w:r w:rsidRPr="004B612B">
        <w:t xml:space="preserve"> Young patients with chronic diseases and long</w:t>
      </w:r>
      <w:r w:rsidR="007012BE">
        <w:t>-</w:t>
      </w:r>
      <w:r w:rsidRPr="004B612B">
        <w:t xml:space="preserve"> term conditions should be supported in case they need to be absent. School and teachers should work out a flexible solution to ensure they can take exam</w:t>
      </w:r>
      <w:r w:rsidR="007012BE">
        <w:t>s</w:t>
      </w:r>
      <w:r w:rsidRPr="004B612B">
        <w:t xml:space="preserve"> at a later date if their health conditions do not allow them to participate </w:t>
      </w:r>
      <w:r w:rsidR="007012BE">
        <w:t>in</w:t>
      </w:r>
      <w:r w:rsidRPr="004B612B">
        <w:t xml:space="preserve"> an exam, or if measures are needed to enable the student to take the exam in good conditions. Appropriate arrangements should be discussed and agreed </w:t>
      </w:r>
      <w:r w:rsidR="00A23119">
        <w:t xml:space="preserve">upon </w:t>
      </w:r>
      <w:r w:rsidRPr="004B612B">
        <w:t>with the young person and staff overseeing the exam should be duly informed (e.g. to allow student to take their food, to allow extra time if justified).</w:t>
      </w:r>
    </w:p>
    <w:p w:rsidR="00395672" w:rsidRDefault="004B612B" w:rsidP="005906BD">
      <w:pPr>
        <w:pStyle w:val="ListParagraph"/>
        <w:numPr>
          <w:ilvl w:val="0"/>
          <w:numId w:val="24"/>
        </w:numPr>
      </w:pPr>
      <w:r>
        <w:t xml:space="preserve">Schools and educational institutions should be provided </w:t>
      </w:r>
      <w:r w:rsidR="00AC6299">
        <w:rPr>
          <w:b/>
        </w:rPr>
        <w:t>adequate</w:t>
      </w:r>
      <w:r w:rsidRPr="00AC6299">
        <w:rPr>
          <w:b/>
        </w:rPr>
        <w:t xml:space="preserve"> </w:t>
      </w:r>
      <w:r w:rsidR="00AC6299" w:rsidRPr="00AC6299">
        <w:rPr>
          <w:b/>
        </w:rPr>
        <w:t>resources</w:t>
      </w:r>
      <w:r w:rsidR="00F31B0B">
        <w:t xml:space="preserve"> </w:t>
      </w:r>
      <w:r>
        <w:t>in order to offer appropriate in</w:t>
      </w:r>
      <w:r w:rsidR="000F50EA">
        <w:t>-</w:t>
      </w:r>
      <w:r>
        <w:t>house medical and psychological support to students with chronic conditions.</w:t>
      </w:r>
    </w:p>
    <w:p w:rsidR="00395672" w:rsidRPr="00395672" w:rsidRDefault="00EB3AB4" w:rsidP="00395672">
      <w:pPr>
        <w:spacing w:after="0"/>
        <w:rPr>
          <w:b/>
          <w:color w:val="00B050"/>
        </w:rPr>
      </w:pPr>
      <w:r>
        <w:rPr>
          <w:b/>
          <w:color w:val="00B050"/>
        </w:rPr>
        <w:t>At Work:</w:t>
      </w:r>
    </w:p>
    <w:p w:rsidR="00EB3AB4" w:rsidRPr="001B7E7B" w:rsidRDefault="00EB3AB4" w:rsidP="00EB3AB4">
      <w:pPr>
        <w:pStyle w:val="ListParagraph"/>
        <w:numPr>
          <w:ilvl w:val="0"/>
          <w:numId w:val="25"/>
        </w:numPr>
      </w:pPr>
      <w:r>
        <w:t xml:space="preserve">Appropriate </w:t>
      </w:r>
      <w:r w:rsidR="00020082">
        <w:t>support and policies for workplace adjustment, accommodations and</w:t>
      </w:r>
      <w:r>
        <w:t xml:space="preserve"> </w:t>
      </w:r>
      <w:r w:rsidRPr="00EB3AB4">
        <w:rPr>
          <w:b/>
        </w:rPr>
        <w:t>return to work</w:t>
      </w:r>
      <w:r>
        <w:t xml:space="preserve"> need to be </w:t>
      </w:r>
      <w:r w:rsidR="005329AA">
        <w:t>implemented</w:t>
      </w:r>
      <w:r>
        <w:t>, building on existing good practices. More research in this area is needed and good practices should be evaluated with the participation of relevant stakeholders including patients.</w:t>
      </w:r>
    </w:p>
    <w:p w:rsidR="00EB3AB4" w:rsidRDefault="00F31B0B" w:rsidP="00020082">
      <w:pPr>
        <w:pStyle w:val="ListParagraph"/>
        <w:numPr>
          <w:ilvl w:val="0"/>
          <w:numId w:val="25"/>
        </w:numPr>
      </w:pPr>
      <w:r>
        <w:lastRenderedPageBreak/>
        <w:t>If patients cannot continue to work in their current job because of their health status but are willing to</w:t>
      </w:r>
      <w:r w:rsidRPr="005906BD">
        <w:rPr>
          <w:b/>
        </w:rPr>
        <w:t xml:space="preserve"> reconvert</w:t>
      </w:r>
      <w:r>
        <w:t>, policies and structure aiming at supporting them should be put in place at national level.</w:t>
      </w:r>
    </w:p>
    <w:p w:rsidR="005906BD" w:rsidRDefault="005906BD" w:rsidP="005906BD">
      <w:pPr>
        <w:pStyle w:val="ListParagraph"/>
        <w:numPr>
          <w:ilvl w:val="0"/>
          <w:numId w:val="25"/>
        </w:numPr>
      </w:pPr>
      <w:r>
        <w:t xml:space="preserve">EU and Member States </w:t>
      </w:r>
      <w:r w:rsidRPr="005906BD">
        <w:rPr>
          <w:b/>
        </w:rPr>
        <w:t>occupational health and safety at work strategies</w:t>
      </w:r>
      <w:r>
        <w:t xml:space="preserve"> and policies should widen their scope to </w:t>
      </w:r>
      <w:r w:rsidRPr="005906BD">
        <w:t xml:space="preserve">support patients with chronic conditions at work (whether </w:t>
      </w:r>
      <w:r w:rsidR="000F50EA">
        <w:t>the condition</w:t>
      </w:r>
      <w:r w:rsidRPr="005906BD">
        <w:t xml:space="preserve"> is caused by work or not).</w:t>
      </w:r>
    </w:p>
    <w:p w:rsidR="001B26E2" w:rsidRPr="00E81F76" w:rsidRDefault="0013099A" w:rsidP="001B26E2">
      <w:pPr>
        <w:pStyle w:val="Heading2"/>
      </w:pPr>
      <w:r>
        <w:t>COOPERATION ACROSS</w:t>
      </w:r>
      <w:r w:rsidR="001B26E2">
        <w:t xml:space="preserve"> policy areas:</w:t>
      </w:r>
      <w:r w:rsidR="00356E42" w:rsidRPr="00542B57">
        <w:t xml:space="preserve"> health/education and employment</w:t>
      </w:r>
    </w:p>
    <w:p w:rsidR="00E81F76" w:rsidRDefault="00E81F76" w:rsidP="00E81F76">
      <w:pPr>
        <w:pStyle w:val="ListParagraph"/>
        <w:numPr>
          <w:ilvl w:val="0"/>
          <w:numId w:val="22"/>
        </w:numPr>
      </w:pPr>
      <w:r>
        <w:t xml:space="preserve">To effectively </w:t>
      </w:r>
      <w:r w:rsidR="00AA1DC7">
        <w:t xml:space="preserve">raise awareness and </w:t>
      </w:r>
      <w:r>
        <w:t xml:space="preserve">tackle the issue of stigma and discrimination in education and at work, </w:t>
      </w:r>
      <w:r w:rsidRPr="0018613A">
        <w:rPr>
          <w:b/>
        </w:rPr>
        <w:t xml:space="preserve">involvement of various stakeholders from </w:t>
      </w:r>
      <w:r>
        <w:rPr>
          <w:b/>
        </w:rPr>
        <w:t xml:space="preserve">the health, </w:t>
      </w:r>
      <w:r w:rsidRPr="0018613A">
        <w:rPr>
          <w:b/>
        </w:rPr>
        <w:t xml:space="preserve">education and </w:t>
      </w:r>
      <w:r w:rsidR="00E06356" w:rsidRPr="0018613A">
        <w:rPr>
          <w:b/>
        </w:rPr>
        <w:t>employment sector</w:t>
      </w:r>
      <w:r w:rsidR="00E06356">
        <w:rPr>
          <w:b/>
        </w:rPr>
        <w:t>s</w:t>
      </w:r>
      <w:r w:rsidR="00E06356" w:rsidRPr="0018613A">
        <w:rPr>
          <w:b/>
        </w:rPr>
        <w:t xml:space="preserve"> are</w:t>
      </w:r>
      <w:r w:rsidRPr="0018613A">
        <w:rPr>
          <w:b/>
        </w:rPr>
        <w:t xml:space="preserve"> needed</w:t>
      </w:r>
      <w:r>
        <w:t>.</w:t>
      </w:r>
    </w:p>
    <w:p w:rsidR="00F25051" w:rsidRDefault="0018613A" w:rsidP="00395672">
      <w:pPr>
        <w:pStyle w:val="ListParagraph"/>
        <w:numPr>
          <w:ilvl w:val="0"/>
          <w:numId w:val="22"/>
        </w:numPr>
      </w:pPr>
      <w:r>
        <w:rPr>
          <w:b/>
        </w:rPr>
        <w:t xml:space="preserve">Active inclusions </w:t>
      </w:r>
      <w:r w:rsidR="005906BD">
        <w:rPr>
          <w:rStyle w:val="FootnoteReference"/>
          <w:b/>
        </w:rPr>
        <w:footnoteReference w:id="43"/>
      </w:r>
      <w:r w:rsidR="001B7E7B">
        <w:t xml:space="preserve"> and </w:t>
      </w:r>
      <w:r w:rsidR="001B7E7B" w:rsidRPr="005906BD">
        <w:rPr>
          <w:b/>
        </w:rPr>
        <w:t>youth employment policies</w:t>
      </w:r>
      <w:r>
        <w:rPr>
          <w:b/>
        </w:rPr>
        <w:t xml:space="preserve"> and programmes</w:t>
      </w:r>
      <w:r w:rsidR="005906BD">
        <w:rPr>
          <w:rStyle w:val="FootnoteReference"/>
          <w:b/>
        </w:rPr>
        <w:footnoteReference w:id="44"/>
      </w:r>
      <w:r w:rsidR="001B7E7B">
        <w:t xml:space="preserve"> </w:t>
      </w:r>
      <w:r w:rsidR="005906BD">
        <w:t xml:space="preserve"> at EU and national level </w:t>
      </w:r>
      <w:r w:rsidR="001B7E7B">
        <w:t xml:space="preserve">should explicitly target the unmet needs of </w:t>
      </w:r>
      <w:r w:rsidR="00F25051">
        <w:t xml:space="preserve">young patients with chronic and long </w:t>
      </w:r>
      <w:r w:rsidR="00DD617C">
        <w:t>-</w:t>
      </w:r>
      <w:r w:rsidR="00F25051">
        <w:t>term conditions.</w:t>
      </w:r>
    </w:p>
    <w:p w:rsidR="00020082" w:rsidRDefault="005A0C72" w:rsidP="00020082">
      <w:pPr>
        <w:pStyle w:val="ListParagraph"/>
        <w:numPr>
          <w:ilvl w:val="0"/>
          <w:numId w:val="22"/>
        </w:numPr>
      </w:pPr>
      <w:r>
        <w:t xml:space="preserve">The </w:t>
      </w:r>
      <w:r w:rsidRPr="005906BD">
        <w:rPr>
          <w:b/>
        </w:rPr>
        <w:t>EU OSHA</w:t>
      </w:r>
      <w:r w:rsidR="006B619A">
        <w:rPr>
          <w:rStyle w:val="FootnoteReference"/>
          <w:b/>
        </w:rPr>
        <w:footnoteReference w:id="45"/>
      </w:r>
      <w:r>
        <w:t xml:space="preserve"> and similar agencies in Member States should collaborate with </w:t>
      </w:r>
      <w:r w:rsidR="00395672">
        <w:t>patients’</w:t>
      </w:r>
      <w:r>
        <w:t xml:space="preserve"> organisations to develop information and resources for persons with chronic and long-term conditions</w:t>
      </w:r>
      <w:r w:rsidR="00F25051">
        <w:t xml:space="preserve"> regarding health and safety at work.</w:t>
      </w:r>
    </w:p>
    <w:p w:rsidR="0018613A" w:rsidRDefault="006C6B49" w:rsidP="00395672">
      <w:pPr>
        <w:pStyle w:val="ListParagraph"/>
        <w:numPr>
          <w:ilvl w:val="0"/>
          <w:numId w:val="22"/>
        </w:numPr>
      </w:pPr>
      <w:r>
        <w:t xml:space="preserve">More cooperation </w:t>
      </w:r>
      <w:r w:rsidR="00E81F76">
        <w:t>between EU Member States</w:t>
      </w:r>
      <w:r>
        <w:t xml:space="preserve"> is needed to exchange </w:t>
      </w:r>
      <w:r w:rsidRPr="0018613A">
        <w:rPr>
          <w:b/>
        </w:rPr>
        <w:t>information on good practices</w:t>
      </w:r>
      <w:r>
        <w:t xml:space="preserve"> in the area of education and employment of people with chronic diseases.</w:t>
      </w:r>
      <w:r w:rsidR="0018613A">
        <w:t xml:space="preserve">  </w:t>
      </w:r>
    </w:p>
    <w:p w:rsidR="00395672" w:rsidRDefault="00395672" w:rsidP="00395672">
      <w:pPr>
        <w:pStyle w:val="ListParagraph"/>
        <w:numPr>
          <w:ilvl w:val="0"/>
          <w:numId w:val="22"/>
        </w:numPr>
      </w:pPr>
      <w:r w:rsidRPr="0018613A">
        <w:rPr>
          <w:b/>
        </w:rPr>
        <w:t>Healthcare professionals</w:t>
      </w:r>
      <w:r>
        <w:t xml:space="preserve"> have a key role to play in taking into account outcomes that are important for patients</w:t>
      </w:r>
      <w:r w:rsidR="001F0021">
        <w:t>,</w:t>
      </w:r>
      <w:r>
        <w:t xml:space="preserve"> such as school and exam attendance or ability to work</w:t>
      </w:r>
      <w:r w:rsidR="00DD617C">
        <w:t>,</w:t>
      </w:r>
      <w:r>
        <w:t xml:space="preserve"> </w:t>
      </w:r>
      <w:r w:rsidR="0018613A">
        <w:t>in their dialogue with patients.</w:t>
      </w:r>
      <w:r w:rsidR="006B619A">
        <w:t xml:space="preserve"> Similarly, researchers should take into account these aspects in clinical trials.</w:t>
      </w:r>
    </w:p>
    <w:p w:rsidR="00F31B0B" w:rsidRDefault="00F31B0B" w:rsidP="00F31B0B">
      <w:pPr>
        <w:pStyle w:val="ListParagraph"/>
        <w:numPr>
          <w:ilvl w:val="0"/>
          <w:numId w:val="22"/>
        </w:numPr>
      </w:pPr>
      <w:r w:rsidRPr="00F31B0B">
        <w:t xml:space="preserve">Policies and initiatives aiming at ensuring equal treatment in education and in employment should </w:t>
      </w:r>
      <w:r w:rsidRPr="0018613A">
        <w:rPr>
          <w:b/>
        </w:rPr>
        <w:t>involve patients and their organisations</w:t>
      </w:r>
      <w:r w:rsidRPr="00F31B0B">
        <w:t xml:space="preserve"> in order to ensure they meet patients’ needs.</w:t>
      </w:r>
    </w:p>
    <w:p w:rsidR="00333545" w:rsidRDefault="0039371E" w:rsidP="00E957C2">
      <w:pPr>
        <w:spacing w:after="0"/>
        <w:rPr>
          <w:b/>
          <w:color w:val="00B050"/>
        </w:rPr>
      </w:pPr>
      <w:r w:rsidRPr="001F0D2E">
        <w:rPr>
          <w:b/>
          <w:color w:val="00B050"/>
        </w:rPr>
        <w:t xml:space="preserve">Question to </w:t>
      </w:r>
      <w:r w:rsidR="000B541E">
        <w:rPr>
          <w:b/>
          <w:color w:val="00B050"/>
        </w:rPr>
        <w:t xml:space="preserve">EPF </w:t>
      </w:r>
      <w:r w:rsidRPr="001F0D2E">
        <w:rPr>
          <w:b/>
          <w:color w:val="00B050"/>
        </w:rPr>
        <w:t>members on final recommendations:</w:t>
      </w:r>
    </w:p>
    <w:p w:rsidR="00395672" w:rsidRDefault="00395672" w:rsidP="00395672">
      <w:pPr>
        <w:pStyle w:val="ListParagraph"/>
        <w:numPr>
          <w:ilvl w:val="0"/>
          <w:numId w:val="23"/>
        </w:numPr>
      </w:pPr>
      <w:r w:rsidRPr="00395672">
        <w:t xml:space="preserve">Are you in contact with actors from the education field, or employers? What could help </w:t>
      </w:r>
      <w:r w:rsidR="0013099A">
        <w:t>establish</w:t>
      </w:r>
      <w:r w:rsidR="0013099A" w:rsidRPr="00395672">
        <w:t xml:space="preserve"> a</w:t>
      </w:r>
      <w:r w:rsidRPr="00395672">
        <w:t xml:space="preserve"> dialogue </w:t>
      </w:r>
      <w:r w:rsidR="005906BD">
        <w:t>between the patient community and this sector</w:t>
      </w:r>
      <w:r w:rsidRPr="00395672">
        <w:t>?</w:t>
      </w:r>
    </w:p>
    <w:p w:rsidR="006B619A" w:rsidRPr="00395672" w:rsidRDefault="006B619A" w:rsidP="006B619A">
      <w:pPr>
        <w:pStyle w:val="ListParagraph"/>
        <w:numPr>
          <w:ilvl w:val="0"/>
          <w:numId w:val="23"/>
        </w:numPr>
      </w:pPr>
      <w:r>
        <w:t>How do you think the EU can contribute to improvements in education and at work for patients with chronic diseases?</w:t>
      </w:r>
    </w:p>
    <w:p w:rsidR="00EB3AB4" w:rsidRDefault="00EB3AB4" w:rsidP="00395672">
      <w:pPr>
        <w:pStyle w:val="ListParagraph"/>
        <w:numPr>
          <w:ilvl w:val="0"/>
          <w:numId w:val="23"/>
        </w:numPr>
      </w:pPr>
      <w:r>
        <w:t>Do you agree with the above recommendations?</w:t>
      </w:r>
    </w:p>
    <w:p w:rsidR="0018613A" w:rsidRDefault="00EB3AB4" w:rsidP="0018613A">
      <w:pPr>
        <w:pStyle w:val="ListParagraph"/>
        <w:numPr>
          <w:ilvl w:val="0"/>
          <w:numId w:val="23"/>
        </w:numPr>
      </w:pPr>
      <w:r>
        <w:t>Do you have further recommendations?</w:t>
      </w:r>
    </w:p>
    <w:p w:rsidR="0039371E" w:rsidRDefault="001C28C5" w:rsidP="000B541E">
      <w:pPr>
        <w:spacing w:after="0"/>
        <w:rPr>
          <w:b/>
        </w:rPr>
      </w:pPr>
      <w:r w:rsidRPr="001C28C5">
        <w:rPr>
          <w:b/>
        </w:rPr>
        <w:t>Conclusion</w:t>
      </w:r>
    </w:p>
    <w:p w:rsidR="00A77183" w:rsidRPr="000B541E" w:rsidRDefault="000B541E" w:rsidP="0039371E">
      <w:r>
        <w:t xml:space="preserve">A cultural shift is needed </w:t>
      </w:r>
      <w:r w:rsidR="00A77183">
        <w:t xml:space="preserve">to address the barriers that patients face in education and </w:t>
      </w:r>
      <w:r w:rsidR="00A60CFA">
        <w:t>in</w:t>
      </w:r>
      <w:r w:rsidR="00A77183">
        <w:t xml:space="preserve"> the workplace</w:t>
      </w:r>
      <w:r w:rsidR="00A60CFA">
        <w:t xml:space="preserve">. </w:t>
      </w:r>
      <w:r w:rsidR="0013099A">
        <w:t>To</w:t>
      </w:r>
      <w:r w:rsidR="00A60CFA">
        <w:t xml:space="preserve"> reach the goals of Europe 2020</w:t>
      </w:r>
      <w:r w:rsidR="0013099A">
        <w:t>, both</w:t>
      </w:r>
      <w:r w:rsidR="00A77183">
        <w:t xml:space="preserve"> educational institutions and workplaces need to become more supportive environment</w:t>
      </w:r>
      <w:r w:rsidR="00A60CFA">
        <w:t>s</w:t>
      </w:r>
      <w:r w:rsidR="00A77183">
        <w:t xml:space="preserve">. This is also essential to improving quality of life for patients </w:t>
      </w:r>
      <w:r w:rsidR="00A77183">
        <w:lastRenderedPageBreak/>
        <w:t>with chronic conditions</w:t>
      </w:r>
      <w:r w:rsidR="00640543">
        <w:t>,</w:t>
      </w:r>
      <w:r w:rsidR="00A77183">
        <w:t xml:space="preserve"> wh</w:t>
      </w:r>
      <w:r w:rsidR="00640543">
        <w:t>o</w:t>
      </w:r>
      <w:r w:rsidR="00A77183">
        <w:t xml:space="preserve"> are an imp</w:t>
      </w:r>
      <w:r w:rsidR="00020082">
        <w:t>ortant share of the population</w:t>
      </w:r>
      <w:r w:rsidR="00F31B0B">
        <w:t xml:space="preserve">.  With a concerted action </w:t>
      </w:r>
      <w:r w:rsidR="00A77183">
        <w:t xml:space="preserve">from stakeholders, driven by political incentives at EU and national level, we strongly believe it is possible to put in place measures to ensure patients are better supported when </w:t>
      </w:r>
      <w:r w:rsidR="00F31B0B">
        <w:t>they need it</w:t>
      </w:r>
      <w:r w:rsidR="00A77183">
        <w:t xml:space="preserve"> in education and in the workplace, </w:t>
      </w:r>
      <w:r w:rsidR="0088780B">
        <w:t xml:space="preserve">and </w:t>
      </w:r>
      <w:r w:rsidR="00F31B0B">
        <w:t xml:space="preserve">are </w:t>
      </w:r>
      <w:r w:rsidR="0088780B">
        <w:t>encouraged to seek</w:t>
      </w:r>
      <w:r w:rsidR="00A77183">
        <w:t xml:space="preserve"> support. </w:t>
      </w:r>
      <w:r w:rsidR="006B619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836"/>
      </w:tblGrid>
      <w:tr w:rsidR="001C28C5" w:rsidRPr="0006670A" w:rsidTr="00BE50E0">
        <w:trPr>
          <w:trHeight w:val="1545"/>
        </w:trPr>
        <w:tc>
          <w:tcPr>
            <w:tcW w:w="2376" w:type="dxa"/>
          </w:tcPr>
          <w:p w:rsidR="001C28C5" w:rsidRPr="00A77183" w:rsidRDefault="001C28C5" w:rsidP="00BE50E0">
            <w:pPr>
              <w:widowControl w:val="0"/>
              <w:spacing w:before="120" w:after="120"/>
              <w:jc w:val="both"/>
              <w:rPr>
                <w:rFonts w:ascii="Calibri" w:hAnsi="Calibri" w:cs="Arial"/>
                <w:lang w:val="en-GB" w:eastAsia="it-IT"/>
              </w:rPr>
            </w:pPr>
            <w:r w:rsidRPr="0006670A">
              <w:rPr>
                <w:rFonts w:ascii="Calibri" w:eastAsia="MS Mincho" w:hAnsi="Calibri" w:cs="Arial"/>
                <w:noProof/>
                <w:color w:val="4F81BD" w:themeColor="accent1"/>
                <w:sz w:val="200"/>
                <w:szCs w:val="200"/>
                <w:lang w:eastAsia="en-GB"/>
              </w:rPr>
              <w:drawing>
                <wp:anchor distT="0" distB="0" distL="114300" distR="114300" simplePos="0" relativeHeight="251674624" behindDoc="0" locked="0" layoutInCell="1" allowOverlap="1" wp14:anchorId="379AF8F7" wp14:editId="4F4DEF44">
                  <wp:simplePos x="0" y="0"/>
                  <wp:positionH relativeFrom="margin">
                    <wp:posOffset>-65405</wp:posOffset>
                  </wp:positionH>
                  <wp:positionV relativeFrom="margin">
                    <wp:posOffset>21590</wp:posOffset>
                  </wp:positionV>
                  <wp:extent cx="1428750" cy="943610"/>
                  <wp:effectExtent l="0" t="0" r="0" b="8890"/>
                  <wp:wrapSquare wrapText="bothSides"/>
                  <wp:docPr id="12" name="Picture 12" descr="http://www.mentorfoundation.org/uploads/pictures/Flag-of-Europ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ntorfoundation.org/uploads/pictures/Flag-of-Europe-150.pn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28750" cy="943610"/>
                          </a:xfrm>
                          <a:prstGeom prst="rect">
                            <a:avLst/>
                          </a:prstGeom>
                          <a:noFill/>
                          <a:ln>
                            <a:noFill/>
                          </a:ln>
                        </pic:spPr>
                      </pic:pic>
                    </a:graphicData>
                  </a:graphic>
                </wp:anchor>
              </w:drawing>
            </w:r>
          </w:p>
        </w:tc>
        <w:tc>
          <w:tcPr>
            <w:tcW w:w="6836" w:type="dxa"/>
          </w:tcPr>
          <w:p w:rsidR="001C28C5" w:rsidRPr="0006670A" w:rsidRDefault="001C28C5" w:rsidP="00BE50E0">
            <w:pPr>
              <w:widowControl w:val="0"/>
              <w:spacing w:after="120"/>
              <w:jc w:val="both"/>
              <w:rPr>
                <w:rFonts w:cstheme="minorHAnsi"/>
                <w:color w:val="002060"/>
                <w:lang w:val="en-GB" w:eastAsia="it-IT"/>
              </w:rPr>
            </w:pPr>
            <w:r w:rsidRPr="0006670A">
              <w:rPr>
                <w:rFonts w:cstheme="minorHAnsi"/>
                <w:color w:val="002060"/>
                <w:lang w:val="en-GB" w:eastAsia="it-IT"/>
              </w:rPr>
              <w:t xml:space="preserve">This </w:t>
            </w:r>
            <w:r>
              <w:rPr>
                <w:rFonts w:cstheme="minorHAnsi"/>
                <w:iCs/>
                <w:color w:val="002060"/>
                <w:lang w:val="en-GB" w:eastAsia="it-IT"/>
              </w:rPr>
              <w:t>position paper</w:t>
            </w:r>
            <w:r w:rsidRPr="0006670A">
              <w:rPr>
                <w:rFonts w:cstheme="minorHAnsi"/>
                <w:i/>
                <w:iCs/>
                <w:color w:val="002060"/>
                <w:lang w:val="en-GB" w:eastAsia="it-IT"/>
              </w:rPr>
              <w:t xml:space="preserve"> </w:t>
            </w:r>
            <w:r>
              <w:rPr>
                <w:rFonts w:cstheme="minorHAnsi"/>
                <w:color w:val="002060"/>
                <w:lang w:val="en-GB" w:eastAsia="it-IT"/>
              </w:rPr>
              <w:t>arises from the EPF 2015</w:t>
            </w:r>
            <w:r w:rsidRPr="0006670A">
              <w:rPr>
                <w:rFonts w:cstheme="minorHAnsi"/>
                <w:color w:val="002060"/>
                <w:lang w:val="en-GB" w:eastAsia="it-IT"/>
              </w:rPr>
              <w:t xml:space="preserve"> Work Programme, which has received funding from the European Union, in the framework of the Health Programme. </w:t>
            </w:r>
          </w:p>
          <w:p w:rsidR="001C28C5" w:rsidRPr="0006670A" w:rsidRDefault="001C28C5" w:rsidP="00BE50E0">
            <w:pPr>
              <w:widowControl w:val="0"/>
              <w:spacing w:after="120"/>
              <w:jc w:val="both"/>
              <w:rPr>
                <w:rFonts w:ascii="ITC Avant Garde Gothic" w:hAnsi="ITC Avant Garde Gothic" w:cs="Arial"/>
                <w:color w:val="1F497D" w:themeColor="text2"/>
                <w:sz w:val="18"/>
                <w:szCs w:val="18"/>
                <w:lang w:val="en-GB" w:eastAsia="it-IT"/>
              </w:rPr>
            </w:pPr>
            <w:r w:rsidRPr="0006670A">
              <w:rPr>
                <w:rFonts w:cstheme="minorHAnsi"/>
                <w:color w:val="002060"/>
                <w:lang w:val="en-GB" w:eastAsia="it-IT"/>
              </w:rPr>
              <w:t xml:space="preserve">Disclaimer: The content of this </w:t>
            </w:r>
            <w:r w:rsidRPr="0006670A">
              <w:rPr>
                <w:rFonts w:cstheme="minorHAnsi"/>
                <w:iCs/>
                <w:color w:val="002060"/>
                <w:lang w:val="en-GB" w:eastAsia="it-IT"/>
              </w:rPr>
              <w:t>briefing</w:t>
            </w:r>
            <w:r>
              <w:rPr>
                <w:rFonts w:cstheme="minorHAnsi"/>
                <w:i/>
                <w:iCs/>
                <w:color w:val="002060"/>
                <w:lang w:val="en-GB" w:eastAsia="it-IT"/>
              </w:rPr>
              <w:t xml:space="preserve"> </w:t>
            </w:r>
            <w:r w:rsidRPr="0006670A">
              <w:rPr>
                <w:rFonts w:cstheme="minorHAnsi"/>
                <w:color w:val="002060"/>
                <w:lang w:val="en-GB" w:eastAsia="it-IT"/>
              </w:rPr>
              <w:t>reflects only the author’s views and the Executive Agency is not responsible for any use that may be made of the information contained therein.</w:t>
            </w:r>
          </w:p>
        </w:tc>
      </w:tr>
    </w:tbl>
    <w:p w:rsidR="001C28C5" w:rsidRPr="00E81F76" w:rsidRDefault="001C28C5" w:rsidP="0039371E"/>
    <w:sectPr w:rsidR="001C28C5" w:rsidRPr="00E81F76" w:rsidSect="00AA1270">
      <w:headerReference w:type="default" r:id="rId18"/>
      <w:footerReference w:type="default" r:id="rId19"/>
      <w:headerReference w:type="first" r:id="rId20"/>
      <w:footerReference w:type="first" r:id="rId21"/>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FE" w:rsidRDefault="008248FE" w:rsidP="006825BF">
      <w:pPr>
        <w:spacing w:after="0" w:line="240" w:lineRule="auto"/>
      </w:pPr>
      <w:r>
        <w:separator/>
      </w:r>
    </w:p>
  </w:endnote>
  <w:endnote w:type="continuationSeparator" w:id="0">
    <w:p w:rsidR="008248FE" w:rsidRDefault="008248FE"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Semi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TC Avant Garde Gothic">
    <w:altName w:val="Century Gothic"/>
    <w:panose1 w:val="020B0402020203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29805"/>
      <w:docPartObj>
        <w:docPartGallery w:val="Page Numbers (Bottom of Page)"/>
        <w:docPartUnique/>
      </w:docPartObj>
    </w:sdtPr>
    <w:sdtEndPr>
      <w:rPr>
        <w:noProof/>
      </w:rPr>
    </w:sdtEndPr>
    <w:sdtContent>
      <w:p w:rsidR="008248FE" w:rsidRDefault="008248FE">
        <w:pPr>
          <w:pStyle w:val="Footer"/>
          <w:jc w:val="right"/>
        </w:pPr>
        <w:r>
          <w:rPr>
            <w:noProof/>
            <w:lang w:eastAsia="en-GB"/>
          </w:rPr>
          <mc:AlternateContent>
            <mc:Choice Requires="wps">
              <w:drawing>
                <wp:anchor distT="0" distB="0" distL="114300" distR="114300" simplePos="0" relativeHeight="251672576" behindDoc="0" locked="0" layoutInCell="1" allowOverlap="1" wp14:anchorId="7FDDFD36" wp14:editId="0247F0B7">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5F32FD">
          <w:rPr>
            <w:noProof/>
          </w:rPr>
          <w:t>12</w:t>
        </w:r>
        <w:r>
          <w:rPr>
            <w:noProof/>
          </w:rPr>
          <w:fldChar w:fldCharType="end"/>
        </w:r>
      </w:p>
    </w:sdtContent>
  </w:sdt>
  <w:p w:rsidR="008248FE" w:rsidRPr="002B34C7" w:rsidRDefault="008248FE" w:rsidP="006B619A">
    <w:pPr>
      <w:pStyle w:val="Footer"/>
    </w:pPr>
    <w:r w:rsidRPr="006B619A">
      <w:t>Equal treatment for patients in education and employment</w:t>
    </w:r>
    <w:r>
      <w:t xml:space="preserve"> (draft)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FE" w:rsidRDefault="008248FE">
    <w:pPr>
      <w:pStyle w:val="Footer"/>
    </w:pPr>
    <w:r>
      <w:rPr>
        <w:noProof/>
        <w:lang w:eastAsia="en-GB"/>
      </w:rPr>
      <w:drawing>
        <wp:anchor distT="0" distB="0" distL="114300" distR="114300" simplePos="0" relativeHeight="251670528" behindDoc="1" locked="0" layoutInCell="1" allowOverlap="1" wp14:anchorId="02E10AD4" wp14:editId="0E692788">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731E4EF1" wp14:editId="6CC76FC8">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FE" w:rsidRDefault="008248FE" w:rsidP="006825BF">
      <w:pPr>
        <w:spacing w:after="0" w:line="240" w:lineRule="auto"/>
      </w:pPr>
      <w:r>
        <w:separator/>
      </w:r>
    </w:p>
  </w:footnote>
  <w:footnote w:type="continuationSeparator" w:id="0">
    <w:p w:rsidR="008248FE" w:rsidRDefault="008248FE" w:rsidP="006825BF">
      <w:pPr>
        <w:spacing w:after="0" w:line="240" w:lineRule="auto"/>
      </w:pPr>
      <w:r>
        <w:continuationSeparator/>
      </w:r>
    </w:p>
  </w:footnote>
  <w:footnote w:id="1">
    <w:p w:rsidR="008248FE" w:rsidRDefault="008248FE">
      <w:pPr>
        <w:pStyle w:val="FootnoteText"/>
      </w:pPr>
      <w:r>
        <w:rPr>
          <w:rStyle w:val="FootnoteReference"/>
        </w:rPr>
        <w:footnoteRef/>
      </w:r>
      <w:r>
        <w:t xml:space="preserve"> </w:t>
      </w:r>
      <w:r w:rsidRPr="008248FE">
        <w:rPr>
          <w:sz w:val="18"/>
          <w:szCs w:val="18"/>
        </w:rPr>
        <w:t>EMPATHY project page: http://www.eu-patient.eu/whatwedo/Projects/EPF-led-EU-Projects/EMPATHY/</w:t>
      </w:r>
    </w:p>
  </w:footnote>
  <w:footnote w:id="2">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http://www.eurofound.europa.eu/observatories/eurwork/comparative-information/employment-opportunities-for-people-with-chronic-diseases</w:t>
      </w:r>
    </w:p>
  </w:footnote>
  <w:footnote w:id="3">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w:t>
      </w:r>
      <w:hyperlink r:id="rId1" w:history="1">
        <w:r w:rsidRPr="008248FE">
          <w:rPr>
            <w:rStyle w:val="Hyperlink"/>
            <w:sz w:val="18"/>
            <w:szCs w:val="18"/>
          </w:rPr>
          <w:t>http://ec.europa.eu/health/social_determinants/docs/final_full_ecorys_web.pdf</w:t>
        </w:r>
      </w:hyperlink>
      <w:r w:rsidRPr="008248FE">
        <w:rPr>
          <w:sz w:val="18"/>
          <w:szCs w:val="18"/>
        </w:rPr>
        <w:t>, p94-95</w:t>
      </w:r>
    </w:p>
  </w:footnote>
  <w:footnote w:id="4">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http://www.eurofound.europa.eu/observatories/eurwork/comparative-information/employment-opportunities-for-people-with-chronic-diseases</w:t>
      </w:r>
    </w:p>
  </w:footnote>
  <w:footnote w:id="5">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A variety of definitions of chronic conditions are used, sometimes statistics are also merged with disabilities, or there is not a specific focus on this age group.</w:t>
      </w:r>
    </w:p>
  </w:footnote>
  <w:footnote w:id="6">
    <w:p w:rsidR="008248FE" w:rsidRPr="008248FE" w:rsidRDefault="008248FE" w:rsidP="00F07B5A">
      <w:pPr>
        <w:pStyle w:val="FootnoteText"/>
        <w:rPr>
          <w:sz w:val="18"/>
          <w:szCs w:val="18"/>
        </w:rPr>
      </w:pPr>
      <w:r w:rsidRPr="008248FE">
        <w:rPr>
          <w:rStyle w:val="FootnoteReference"/>
          <w:sz w:val="18"/>
          <w:szCs w:val="18"/>
        </w:rPr>
        <w:footnoteRef/>
      </w:r>
      <w:r w:rsidRPr="008248FE">
        <w:rPr>
          <w:sz w:val="18"/>
          <w:szCs w:val="18"/>
        </w:rPr>
        <w:t xml:space="preserve"> </w:t>
      </w:r>
      <w:proofErr w:type="gramStart"/>
      <w:r w:rsidRPr="008248FE">
        <w:rPr>
          <w:sz w:val="18"/>
          <w:szCs w:val="18"/>
        </w:rPr>
        <w:t>The adolescent with a chronic condition.</w:t>
      </w:r>
      <w:proofErr w:type="gramEnd"/>
      <w:r w:rsidRPr="008248FE">
        <w:rPr>
          <w:sz w:val="18"/>
          <w:szCs w:val="18"/>
        </w:rPr>
        <w:t xml:space="preserve"> Part I: developmental issues J-C Suris, P-A Michaud, R Viner </w:t>
      </w:r>
      <w:r w:rsidRPr="008248FE">
        <w:rPr>
          <w:i/>
          <w:sz w:val="18"/>
          <w:szCs w:val="18"/>
        </w:rPr>
        <w:t>Arch Dis Child</w:t>
      </w:r>
      <w:r w:rsidRPr="008248FE">
        <w:rPr>
          <w:sz w:val="18"/>
          <w:szCs w:val="18"/>
        </w:rPr>
        <w:t xml:space="preserve"> 2004 89: p 938</w:t>
      </w:r>
    </w:p>
  </w:footnote>
  <w:footnote w:id="7">
    <w:p w:rsidR="008248FE" w:rsidRPr="008248FE" w:rsidRDefault="008248FE" w:rsidP="00F07B5A">
      <w:pPr>
        <w:pStyle w:val="FootnoteText"/>
        <w:rPr>
          <w:sz w:val="18"/>
          <w:szCs w:val="18"/>
        </w:rPr>
      </w:pPr>
      <w:r w:rsidRPr="008248FE">
        <w:rPr>
          <w:rStyle w:val="FootnoteReference"/>
          <w:sz w:val="18"/>
          <w:szCs w:val="18"/>
        </w:rPr>
        <w:footnoteRef/>
      </w:r>
      <w:r w:rsidRPr="008248FE">
        <w:rPr>
          <w:sz w:val="18"/>
          <w:szCs w:val="18"/>
        </w:rPr>
        <w:t xml:space="preserve"> The adolescent with a chronic </w:t>
      </w:r>
      <w:proofErr w:type="gramStart"/>
      <w:r w:rsidRPr="008248FE">
        <w:rPr>
          <w:sz w:val="18"/>
          <w:szCs w:val="18"/>
        </w:rPr>
        <w:t>condition :</w:t>
      </w:r>
      <w:proofErr w:type="gramEnd"/>
      <w:r w:rsidRPr="008248FE">
        <w:rPr>
          <w:sz w:val="18"/>
          <w:szCs w:val="18"/>
        </w:rPr>
        <w:t xml:space="preserve"> epidemi</w:t>
      </w:r>
      <w:r w:rsidR="00E957C2">
        <w:rPr>
          <w:sz w:val="18"/>
          <w:szCs w:val="18"/>
        </w:rPr>
        <w:t xml:space="preserve">ology, developmental issues and </w:t>
      </w:r>
      <w:r w:rsidRPr="008248FE">
        <w:rPr>
          <w:sz w:val="18"/>
          <w:szCs w:val="18"/>
        </w:rPr>
        <w:t xml:space="preserve">health care provision, P-A. </w:t>
      </w:r>
      <w:proofErr w:type="gramStart"/>
      <w:r w:rsidRPr="008248FE">
        <w:rPr>
          <w:sz w:val="18"/>
          <w:szCs w:val="18"/>
        </w:rPr>
        <w:t>Michaud, J.C. Suris and R. Viner.</w:t>
      </w:r>
      <w:proofErr w:type="gramEnd"/>
      <w:r w:rsidRPr="008248FE">
        <w:rPr>
          <w:rFonts w:ascii="Minion-Semibold" w:hAnsi="Minion-Semibold" w:cs="Minion-Semibold"/>
          <w:sz w:val="18"/>
          <w:szCs w:val="18"/>
        </w:rPr>
        <w:t xml:space="preserve"> </w:t>
      </w:r>
      <w:proofErr w:type="gramStart"/>
      <w:r w:rsidRPr="008248FE">
        <w:rPr>
          <w:rFonts w:cs="Minion-Semibold"/>
          <w:sz w:val="18"/>
          <w:szCs w:val="18"/>
        </w:rPr>
        <w:t>World Health Organization 2007.</w:t>
      </w:r>
      <w:proofErr w:type="gramEnd"/>
    </w:p>
  </w:footnote>
  <w:footnote w:id="8">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w:t>
      </w:r>
      <w:hyperlink r:id="rId2" w:history="1">
        <w:r w:rsidRPr="008248FE">
          <w:rPr>
            <w:rStyle w:val="Hyperlink"/>
            <w:sz w:val="18"/>
            <w:szCs w:val="18"/>
          </w:rPr>
          <w:t>http://www.astri.nl/media/uploads/files/EF1226EN6.pdf</w:t>
        </w:r>
      </w:hyperlink>
      <w:r w:rsidRPr="008248FE">
        <w:rPr>
          <w:sz w:val="18"/>
          <w:szCs w:val="18"/>
        </w:rPr>
        <w:t>, p1</w:t>
      </w:r>
    </w:p>
  </w:footnote>
  <w:footnote w:id="9">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https://osha.europa.eu/en/publications/magazine/4/</w:t>
      </w:r>
    </w:p>
  </w:footnote>
  <w:footnote w:id="10">
    <w:p w:rsidR="008248FE" w:rsidRDefault="008248FE">
      <w:pPr>
        <w:pStyle w:val="FootnoteText"/>
      </w:pPr>
      <w:r w:rsidRPr="008248FE">
        <w:rPr>
          <w:rStyle w:val="FootnoteReference"/>
          <w:sz w:val="18"/>
          <w:szCs w:val="18"/>
        </w:rPr>
        <w:footnoteRef/>
      </w:r>
      <w:r w:rsidRPr="008248FE">
        <w:rPr>
          <w:sz w:val="18"/>
          <w:szCs w:val="18"/>
        </w:rPr>
        <w:t xml:space="preserve"> http://eur-lex.europa.eu/LexUriServ/LexUriServ.do?uri=COM:2010:2020:FIN:EN:PDF</w:t>
      </w:r>
    </w:p>
  </w:footnote>
  <w:footnote w:id="11">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http://www.un.org/disabilities/convention/conventionfull.shtml</w:t>
      </w:r>
    </w:p>
  </w:footnote>
  <w:footnote w:id="12">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More information on objectives and activities: http://ec.europa.eu/justice/grants1/programmes-2014-2020/rec/index_en.htm</w:t>
      </w:r>
    </w:p>
  </w:footnote>
  <w:footnote w:id="13">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More information: http://ec.europa.eu/social/main.jsp?catId=1081</w:t>
      </w:r>
    </w:p>
  </w:footnote>
  <w:footnote w:id="14">
    <w:p w:rsidR="008248FE" w:rsidRPr="008248FE" w:rsidRDefault="008248FE" w:rsidP="008A1EC7">
      <w:pPr>
        <w:pStyle w:val="FootnoteText"/>
        <w:rPr>
          <w:sz w:val="18"/>
          <w:szCs w:val="18"/>
        </w:rPr>
      </w:pPr>
      <w:r w:rsidRPr="008248FE">
        <w:rPr>
          <w:rStyle w:val="FootnoteReference"/>
          <w:sz w:val="18"/>
          <w:szCs w:val="18"/>
        </w:rPr>
        <w:footnoteRef/>
      </w:r>
      <w:r w:rsidRPr="008248FE">
        <w:rPr>
          <w:sz w:val="18"/>
          <w:szCs w:val="18"/>
        </w:rPr>
        <w:t xml:space="preserve"> J-C Suris, P-A Michaud, R Viner “The adolescent with a chronic condition. Part I:</w:t>
      </w:r>
    </w:p>
    <w:p w:rsidR="008248FE" w:rsidRPr="008248FE" w:rsidRDefault="008248FE" w:rsidP="008A1EC7">
      <w:pPr>
        <w:pStyle w:val="FootnoteText"/>
        <w:rPr>
          <w:sz w:val="18"/>
          <w:szCs w:val="18"/>
        </w:rPr>
      </w:pPr>
      <w:r w:rsidRPr="008248FE">
        <w:rPr>
          <w:sz w:val="18"/>
          <w:szCs w:val="18"/>
        </w:rPr>
        <w:t>developmental issues” Arch Dis Child 2004;89:938–942</w:t>
      </w:r>
    </w:p>
  </w:footnote>
  <w:footnote w:id="15">
    <w:p w:rsidR="008248FE" w:rsidRDefault="008248FE" w:rsidP="008A1EC7">
      <w:pPr>
        <w:pStyle w:val="FootnoteText"/>
      </w:pPr>
      <w:r w:rsidRPr="008248FE">
        <w:rPr>
          <w:rStyle w:val="FootnoteReference"/>
          <w:sz w:val="18"/>
          <w:szCs w:val="18"/>
        </w:rPr>
        <w:footnoteRef/>
      </w:r>
      <w:r w:rsidRPr="008248FE">
        <w:rPr>
          <w:sz w:val="18"/>
          <w:szCs w:val="18"/>
        </w:rPr>
        <w:t xml:space="preserve"> idem</w:t>
      </w:r>
    </w:p>
  </w:footnote>
  <w:footnote w:id="16">
    <w:p w:rsidR="008248FE" w:rsidRPr="008248FE" w:rsidRDefault="008248FE">
      <w:pPr>
        <w:pStyle w:val="FootnoteText"/>
        <w:rPr>
          <w:sz w:val="18"/>
          <w:szCs w:val="18"/>
        </w:rPr>
      </w:pPr>
      <w:r>
        <w:rPr>
          <w:rStyle w:val="FootnoteReference"/>
        </w:rPr>
        <w:footnoteRef/>
      </w:r>
      <w:r w:rsidRPr="00EA39B0">
        <w:t xml:space="preserve"> </w:t>
      </w:r>
      <w:r w:rsidRPr="008248FE">
        <w:rPr>
          <w:sz w:val="18"/>
          <w:szCs w:val="18"/>
        </w:rPr>
        <w:t>idem</w:t>
      </w:r>
    </w:p>
  </w:footnote>
  <w:footnote w:id="17">
    <w:p w:rsidR="008248FE" w:rsidRPr="008248FE" w:rsidRDefault="008248FE" w:rsidP="00EA39B0">
      <w:pPr>
        <w:pStyle w:val="FootnoteText"/>
        <w:rPr>
          <w:sz w:val="18"/>
          <w:szCs w:val="18"/>
        </w:rPr>
      </w:pPr>
      <w:r w:rsidRPr="008248FE">
        <w:rPr>
          <w:rStyle w:val="FootnoteReference"/>
          <w:sz w:val="18"/>
          <w:szCs w:val="18"/>
        </w:rPr>
        <w:footnoteRef/>
      </w:r>
      <w:r w:rsidRPr="008248FE">
        <w:rPr>
          <w:sz w:val="18"/>
          <w:szCs w:val="18"/>
        </w:rPr>
        <w:t xml:space="preserve"> The adolescent with a chronic condition : epidemiology, developmental issues and</w:t>
      </w:r>
    </w:p>
    <w:p w:rsidR="008248FE" w:rsidRPr="008248FE" w:rsidRDefault="008248FE" w:rsidP="00EA39B0">
      <w:pPr>
        <w:pStyle w:val="FootnoteText"/>
        <w:rPr>
          <w:sz w:val="18"/>
          <w:szCs w:val="18"/>
        </w:rPr>
      </w:pPr>
      <w:proofErr w:type="gramStart"/>
      <w:r w:rsidRPr="008248FE">
        <w:rPr>
          <w:sz w:val="18"/>
          <w:szCs w:val="18"/>
        </w:rPr>
        <w:t>health</w:t>
      </w:r>
      <w:proofErr w:type="gramEnd"/>
      <w:r w:rsidRPr="008248FE">
        <w:rPr>
          <w:sz w:val="18"/>
          <w:szCs w:val="18"/>
        </w:rPr>
        <w:t xml:space="preserve"> care provision, P-A. </w:t>
      </w:r>
      <w:proofErr w:type="gramStart"/>
      <w:r w:rsidRPr="008248FE">
        <w:rPr>
          <w:sz w:val="18"/>
          <w:szCs w:val="18"/>
        </w:rPr>
        <w:t>Michaud, J.C. Suris and R. Viner.</w:t>
      </w:r>
      <w:proofErr w:type="gramEnd"/>
      <w:r w:rsidRPr="008248FE">
        <w:rPr>
          <w:sz w:val="18"/>
          <w:szCs w:val="18"/>
        </w:rPr>
        <w:t xml:space="preserve"> World Health Organization 2007</w:t>
      </w:r>
      <w:r w:rsidR="001F7C28">
        <w:rPr>
          <w:sz w:val="18"/>
          <w:szCs w:val="18"/>
        </w:rPr>
        <w:t>, p5</w:t>
      </w:r>
    </w:p>
  </w:footnote>
  <w:footnote w:id="18">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http://www.eurofound.europa.eu/observatories/eurwork/comparative-information/employment-opportunities-for-people-with-chronic-diseases</w:t>
      </w:r>
    </w:p>
  </w:footnote>
  <w:footnote w:id="19">
    <w:p w:rsidR="008248FE" w:rsidRPr="008248FE" w:rsidRDefault="008248FE">
      <w:pPr>
        <w:pStyle w:val="FootnoteText"/>
        <w:rPr>
          <w:sz w:val="18"/>
          <w:szCs w:val="18"/>
          <w:lang w:val="fr-FR"/>
        </w:rPr>
      </w:pPr>
      <w:r w:rsidRPr="008248FE">
        <w:rPr>
          <w:rStyle w:val="FootnoteReference"/>
          <w:sz w:val="18"/>
          <w:szCs w:val="18"/>
        </w:rPr>
        <w:footnoteRef/>
      </w:r>
      <w:r w:rsidRPr="008248FE">
        <w:rPr>
          <w:sz w:val="18"/>
          <w:szCs w:val="18"/>
          <w:lang w:val="fr-FR"/>
        </w:rPr>
        <w:t xml:space="preserve"> </w:t>
      </w:r>
      <w:proofErr w:type="gramStart"/>
      <w:r w:rsidRPr="008248FE">
        <w:rPr>
          <w:sz w:val="18"/>
          <w:szCs w:val="18"/>
          <w:lang w:val="fr-FR"/>
        </w:rPr>
        <w:t>idem</w:t>
      </w:r>
      <w:proofErr w:type="gramEnd"/>
    </w:p>
  </w:footnote>
  <w:footnote w:id="20">
    <w:p w:rsidR="008248FE" w:rsidRPr="0095593C" w:rsidRDefault="008248FE">
      <w:pPr>
        <w:pStyle w:val="FootnoteText"/>
        <w:rPr>
          <w:lang w:val="fr-FR"/>
        </w:rPr>
      </w:pPr>
      <w:r>
        <w:rPr>
          <w:rStyle w:val="FootnoteReference"/>
        </w:rPr>
        <w:footnoteRef/>
      </w:r>
      <w:r w:rsidRPr="0095593C">
        <w:rPr>
          <w:lang w:val="fr-FR"/>
        </w:rPr>
        <w:t xml:space="preserve"> Observatoire du CISS sur les droits des maladies rapport annuel de santé info droit 2011</w:t>
      </w:r>
    </w:p>
  </w:footnote>
  <w:footnote w:id="21">
    <w:p w:rsidR="008248FE" w:rsidRPr="00476F91" w:rsidRDefault="008248FE">
      <w:pPr>
        <w:pStyle w:val="FootnoteText"/>
        <w:rPr>
          <w:sz w:val="18"/>
          <w:szCs w:val="18"/>
          <w:lang w:val="fr-FR"/>
        </w:rPr>
      </w:pPr>
      <w:r w:rsidRPr="00476F91">
        <w:rPr>
          <w:rStyle w:val="FootnoteReference"/>
          <w:sz w:val="18"/>
          <w:szCs w:val="18"/>
        </w:rPr>
        <w:footnoteRef/>
      </w:r>
      <w:r w:rsidRPr="00476F91">
        <w:rPr>
          <w:sz w:val="18"/>
          <w:szCs w:val="18"/>
          <w:lang w:val="fr-FR"/>
        </w:rPr>
        <w:t xml:space="preserve"> </w:t>
      </w:r>
      <w:hyperlink r:id="rId3" w:history="1">
        <w:r w:rsidRPr="00476F91">
          <w:rPr>
            <w:rStyle w:val="Hyperlink"/>
            <w:sz w:val="18"/>
            <w:szCs w:val="18"/>
            <w:lang w:val="fr-FR"/>
          </w:rPr>
          <w:t>http://www.eurofound.europa.eu/observatories/eurwork/comparative-information/employment-opportunities-for-people-with-chronic-diseases</w:t>
        </w:r>
      </w:hyperlink>
      <w:r w:rsidRPr="00476F91">
        <w:rPr>
          <w:sz w:val="18"/>
          <w:szCs w:val="18"/>
          <w:lang w:val="fr-FR"/>
        </w:rPr>
        <w:t xml:space="preserve"> </w:t>
      </w:r>
    </w:p>
  </w:footnote>
  <w:footnote w:id="22">
    <w:p w:rsidR="008248FE" w:rsidRPr="00476F91" w:rsidRDefault="008248FE">
      <w:pPr>
        <w:pStyle w:val="FootnoteText"/>
        <w:rPr>
          <w:sz w:val="18"/>
          <w:szCs w:val="18"/>
          <w:lang w:val="fr-FR"/>
        </w:rPr>
      </w:pPr>
      <w:r w:rsidRPr="00476F91">
        <w:rPr>
          <w:rStyle w:val="FootnoteReference"/>
          <w:sz w:val="18"/>
          <w:szCs w:val="18"/>
        </w:rPr>
        <w:footnoteRef/>
      </w:r>
      <w:r w:rsidRPr="00476F91">
        <w:rPr>
          <w:sz w:val="18"/>
          <w:szCs w:val="18"/>
          <w:lang w:val="fr-FR"/>
        </w:rPr>
        <w:t xml:space="preserve"> Source: [im</w:t>
      </w:r>
      <w:proofErr w:type="gramStart"/>
      <w:r w:rsidRPr="00476F91">
        <w:rPr>
          <w:sz w:val="18"/>
          <w:szCs w:val="18"/>
          <w:lang w:val="fr-FR"/>
        </w:rPr>
        <w:t>]Patients,Chroniques</w:t>
      </w:r>
      <w:proofErr w:type="gramEnd"/>
      <w:r w:rsidRPr="00476F91">
        <w:rPr>
          <w:sz w:val="18"/>
          <w:szCs w:val="18"/>
          <w:lang w:val="fr-FR"/>
        </w:rPr>
        <w:t xml:space="preserve"> &amp; Associés’ white paper “vivre comme les autres” 2nd edition 2011, p17-18, available at http://www.afh.asso.fr/IMG/pdf/2ndeedit_livre-blanc_vivre_comme_les_autres_2011.pdf</w:t>
      </w:r>
    </w:p>
  </w:footnote>
  <w:footnote w:id="23">
    <w:p w:rsidR="008248FE" w:rsidRPr="00476F91" w:rsidRDefault="008248FE">
      <w:pPr>
        <w:pStyle w:val="FootnoteText"/>
        <w:rPr>
          <w:sz w:val="18"/>
          <w:szCs w:val="18"/>
          <w:lang w:val="fr-FR"/>
        </w:rPr>
      </w:pPr>
      <w:r w:rsidRPr="00476F91">
        <w:rPr>
          <w:rStyle w:val="FootnoteReference"/>
          <w:sz w:val="18"/>
          <w:szCs w:val="18"/>
        </w:rPr>
        <w:footnoteRef/>
      </w:r>
      <w:r w:rsidRPr="00476F91">
        <w:rPr>
          <w:sz w:val="18"/>
          <w:szCs w:val="18"/>
          <w:lang w:val="fr-FR"/>
        </w:rPr>
        <w:t xml:space="preserve"> http://www.lemonde.fr/sante/article/2014/04/17/avoir-un-cancer-n-est-pas-une-faute-grave_4402835_1651302.html</w:t>
      </w:r>
    </w:p>
  </w:footnote>
  <w:footnote w:id="24">
    <w:p w:rsidR="008248FE" w:rsidRPr="005049D3" w:rsidRDefault="008248FE">
      <w:pPr>
        <w:pStyle w:val="FootnoteText"/>
        <w:rPr>
          <w:lang w:val="fr-FR"/>
        </w:rPr>
      </w:pPr>
      <w:r w:rsidRPr="00476F91">
        <w:rPr>
          <w:rStyle w:val="FootnoteReference"/>
          <w:sz w:val="18"/>
          <w:szCs w:val="18"/>
        </w:rPr>
        <w:footnoteRef/>
      </w:r>
      <w:r w:rsidRPr="00476F91">
        <w:rPr>
          <w:sz w:val="18"/>
          <w:szCs w:val="18"/>
          <w:lang w:val="fr-FR"/>
        </w:rPr>
        <w:t xml:space="preserve"> http://eur-lex.europa.eu/legal-content/EN/TXT/?uri=celex:32000L0078</w:t>
      </w:r>
    </w:p>
  </w:footnote>
  <w:footnote w:id="25">
    <w:p w:rsidR="008248FE" w:rsidRPr="00476F91" w:rsidRDefault="008248FE">
      <w:pPr>
        <w:pStyle w:val="FootnoteText"/>
        <w:rPr>
          <w:sz w:val="18"/>
          <w:szCs w:val="18"/>
          <w:lang w:val="fr-FR"/>
        </w:rPr>
      </w:pPr>
      <w:r w:rsidRPr="00476F91">
        <w:rPr>
          <w:rStyle w:val="FootnoteReference"/>
          <w:sz w:val="18"/>
          <w:szCs w:val="18"/>
        </w:rPr>
        <w:footnoteRef/>
      </w:r>
      <w:r w:rsidRPr="00476F91">
        <w:rPr>
          <w:sz w:val="18"/>
          <w:szCs w:val="18"/>
          <w:lang w:val="fr-FR"/>
        </w:rPr>
        <w:t xml:space="preserve"> http://curia.europa.eu/juris/liste.jsf?language=en&amp;num=C-13/05</w:t>
      </w:r>
    </w:p>
  </w:footnote>
  <w:footnote w:id="26">
    <w:p w:rsidR="008248FE" w:rsidRPr="00476F91" w:rsidRDefault="008248FE">
      <w:pPr>
        <w:pStyle w:val="FootnoteText"/>
        <w:rPr>
          <w:sz w:val="18"/>
          <w:szCs w:val="18"/>
        </w:rPr>
      </w:pPr>
      <w:r w:rsidRPr="00476F91">
        <w:rPr>
          <w:rStyle w:val="FootnoteReference"/>
          <w:sz w:val="18"/>
          <w:szCs w:val="18"/>
        </w:rPr>
        <w:footnoteRef/>
      </w:r>
      <w:r w:rsidRPr="00476F91">
        <w:rPr>
          <w:sz w:val="18"/>
          <w:szCs w:val="18"/>
        </w:rPr>
        <w:t xml:space="preserve"> </w:t>
      </w:r>
      <w:hyperlink r:id="rId4" w:history="1">
        <w:r w:rsidRPr="00476F91">
          <w:rPr>
            <w:rStyle w:val="Hyperlink"/>
            <w:sz w:val="18"/>
            <w:szCs w:val="18"/>
          </w:rPr>
          <w:t>http://www.enwhp.org/uploads/media/ENWHP_Guide_PH_Work_final.pdf</w:t>
        </w:r>
      </w:hyperlink>
      <w:r w:rsidRPr="00476F91">
        <w:rPr>
          <w:sz w:val="18"/>
          <w:szCs w:val="18"/>
        </w:rPr>
        <w:t xml:space="preserve"> p 16-19</w:t>
      </w:r>
    </w:p>
  </w:footnote>
  <w:footnote w:id="27">
    <w:p w:rsidR="008248FE" w:rsidRPr="00DF0B00" w:rsidRDefault="008248FE" w:rsidP="00387A0E">
      <w:pPr>
        <w:pStyle w:val="FootnoteText"/>
        <w:rPr>
          <w:sz w:val="18"/>
          <w:szCs w:val="18"/>
          <w:lang w:val="fr-FR"/>
        </w:rPr>
      </w:pPr>
      <w:r w:rsidRPr="00476F91">
        <w:rPr>
          <w:rStyle w:val="FootnoteReference"/>
          <w:sz w:val="18"/>
          <w:szCs w:val="18"/>
        </w:rPr>
        <w:footnoteRef/>
      </w:r>
      <w:r w:rsidRPr="00476F91">
        <w:rPr>
          <w:sz w:val="18"/>
          <w:szCs w:val="18"/>
          <w:lang w:val="fr-FR"/>
        </w:rPr>
        <w:t xml:space="preserve"> Observatoire du CISS sur les droits des maladies rapport annuel de santé info droit 2011</w:t>
      </w:r>
    </w:p>
  </w:footnote>
  <w:footnote w:id="28">
    <w:p w:rsidR="008248FE" w:rsidRPr="00DF0B00" w:rsidRDefault="008248FE" w:rsidP="00387A0E">
      <w:pPr>
        <w:pStyle w:val="FootnoteText"/>
        <w:rPr>
          <w:sz w:val="18"/>
          <w:szCs w:val="18"/>
          <w:lang w:val="fr-FR"/>
        </w:rPr>
      </w:pPr>
      <w:r w:rsidRPr="00DF0B00">
        <w:rPr>
          <w:rStyle w:val="FootnoteReference"/>
          <w:sz w:val="18"/>
          <w:szCs w:val="18"/>
        </w:rPr>
        <w:footnoteRef/>
      </w:r>
      <w:r w:rsidRPr="00DF0B00">
        <w:rPr>
          <w:sz w:val="18"/>
          <w:szCs w:val="18"/>
        </w:rPr>
        <w:t xml:space="preserve">  For example that is the situation in France. </w:t>
      </w:r>
      <w:r w:rsidRPr="00DF0B00">
        <w:rPr>
          <w:sz w:val="18"/>
          <w:szCs w:val="18"/>
          <w:lang w:val="fr-FR"/>
        </w:rPr>
        <w:t>Source: [im]Patients</w:t>
      </w:r>
      <w:proofErr w:type="gramStart"/>
      <w:r w:rsidRPr="00DF0B00">
        <w:rPr>
          <w:sz w:val="18"/>
          <w:szCs w:val="18"/>
          <w:lang w:val="fr-FR"/>
        </w:rPr>
        <w:t>,Chroniques</w:t>
      </w:r>
      <w:proofErr w:type="gramEnd"/>
      <w:r w:rsidRPr="00DF0B00">
        <w:rPr>
          <w:sz w:val="18"/>
          <w:szCs w:val="18"/>
          <w:lang w:val="fr-FR"/>
        </w:rPr>
        <w:t xml:space="preserve"> &amp; Associés’  white paper “vivre comme les autres” 2nd edition 2011,  p17-18, available at http://www.afh.asso.fr/IMG/pdf/2ndeedit_livre-blanc_vivre_comme_les_autres_2011.pdf</w:t>
      </w:r>
    </w:p>
  </w:footnote>
  <w:footnote w:id="29">
    <w:p w:rsidR="008248FE" w:rsidRPr="00DF0B00" w:rsidRDefault="008248FE" w:rsidP="00387A0E">
      <w:pPr>
        <w:pStyle w:val="FootnoteText"/>
        <w:rPr>
          <w:sz w:val="18"/>
          <w:szCs w:val="18"/>
          <w:lang w:val="fr-FR"/>
        </w:rPr>
      </w:pPr>
      <w:r w:rsidRPr="00DF0B00">
        <w:rPr>
          <w:rStyle w:val="FootnoteReference"/>
          <w:sz w:val="18"/>
          <w:szCs w:val="18"/>
        </w:rPr>
        <w:footnoteRef/>
      </w:r>
      <w:r w:rsidRPr="00DF0B00">
        <w:rPr>
          <w:sz w:val="18"/>
          <w:szCs w:val="18"/>
        </w:rPr>
        <w:t xml:space="preserve">  The white paper </w:t>
      </w:r>
      <w:proofErr w:type="gramStart"/>
      <w:r w:rsidRPr="00DF0B00">
        <w:rPr>
          <w:sz w:val="18"/>
          <w:szCs w:val="18"/>
        </w:rPr>
        <w:t>“ vivre</w:t>
      </w:r>
      <w:proofErr w:type="gramEnd"/>
      <w:r w:rsidRPr="00DF0B00">
        <w:rPr>
          <w:sz w:val="18"/>
          <w:szCs w:val="18"/>
        </w:rPr>
        <w:t xml:space="preserve"> </w:t>
      </w:r>
      <w:proofErr w:type="spellStart"/>
      <w:r w:rsidRPr="00DF0B00">
        <w:rPr>
          <w:sz w:val="18"/>
          <w:szCs w:val="18"/>
        </w:rPr>
        <w:t>comme</w:t>
      </w:r>
      <w:proofErr w:type="spellEnd"/>
      <w:r w:rsidRPr="00DF0B00">
        <w:rPr>
          <w:sz w:val="18"/>
          <w:szCs w:val="18"/>
        </w:rPr>
        <w:t xml:space="preserve"> les </w:t>
      </w:r>
      <w:proofErr w:type="spellStart"/>
      <w:r w:rsidRPr="00DF0B00">
        <w:rPr>
          <w:sz w:val="18"/>
          <w:szCs w:val="18"/>
        </w:rPr>
        <w:t>autres</w:t>
      </w:r>
      <w:proofErr w:type="spellEnd"/>
      <w:r w:rsidRPr="00DF0B00">
        <w:rPr>
          <w:sz w:val="18"/>
          <w:szCs w:val="18"/>
        </w:rPr>
        <w:t xml:space="preserve">”  indicates that through local actions, these negative perceptions can be significantly modified. </w:t>
      </w:r>
      <w:r w:rsidRPr="00DF0B00">
        <w:rPr>
          <w:sz w:val="18"/>
          <w:szCs w:val="18"/>
          <w:lang w:val="fr-FR"/>
        </w:rPr>
        <w:t>Source: [im</w:t>
      </w:r>
      <w:proofErr w:type="gramStart"/>
      <w:r w:rsidRPr="00DF0B00">
        <w:rPr>
          <w:sz w:val="18"/>
          <w:szCs w:val="18"/>
          <w:lang w:val="fr-FR"/>
        </w:rPr>
        <w:t>]Patients,Chroniques</w:t>
      </w:r>
      <w:proofErr w:type="gramEnd"/>
      <w:r w:rsidRPr="00DF0B00">
        <w:rPr>
          <w:sz w:val="18"/>
          <w:szCs w:val="18"/>
          <w:lang w:val="fr-FR"/>
        </w:rPr>
        <w:t xml:space="preserve"> &amp; Associés’  white </w:t>
      </w:r>
      <w:proofErr w:type="spellStart"/>
      <w:r w:rsidRPr="00DF0B00">
        <w:rPr>
          <w:sz w:val="18"/>
          <w:szCs w:val="18"/>
          <w:lang w:val="fr-FR"/>
        </w:rPr>
        <w:t>paper</w:t>
      </w:r>
      <w:proofErr w:type="spellEnd"/>
      <w:r w:rsidRPr="00DF0B00">
        <w:rPr>
          <w:sz w:val="18"/>
          <w:szCs w:val="18"/>
          <w:lang w:val="fr-FR"/>
        </w:rPr>
        <w:t xml:space="preserve"> “vivre comme les autres” 2nd </w:t>
      </w:r>
      <w:proofErr w:type="spellStart"/>
      <w:r w:rsidRPr="00DF0B00">
        <w:rPr>
          <w:sz w:val="18"/>
          <w:szCs w:val="18"/>
          <w:lang w:val="fr-FR"/>
        </w:rPr>
        <w:t>edition</w:t>
      </w:r>
      <w:proofErr w:type="spellEnd"/>
      <w:r w:rsidRPr="00DF0B00">
        <w:rPr>
          <w:sz w:val="18"/>
          <w:szCs w:val="18"/>
          <w:lang w:val="fr-FR"/>
        </w:rPr>
        <w:t xml:space="preserve"> 2011,  p18, </w:t>
      </w:r>
      <w:proofErr w:type="spellStart"/>
      <w:r w:rsidRPr="00DF0B00">
        <w:rPr>
          <w:sz w:val="18"/>
          <w:szCs w:val="18"/>
          <w:lang w:val="fr-FR"/>
        </w:rPr>
        <w:t>available</w:t>
      </w:r>
      <w:proofErr w:type="spellEnd"/>
      <w:r w:rsidRPr="00DF0B00">
        <w:rPr>
          <w:sz w:val="18"/>
          <w:szCs w:val="18"/>
          <w:lang w:val="fr-FR"/>
        </w:rPr>
        <w:t xml:space="preserve"> at </w:t>
      </w:r>
      <w:hyperlink r:id="rId5" w:history="1">
        <w:r w:rsidRPr="00DF0B00">
          <w:rPr>
            <w:rStyle w:val="Hyperlink"/>
            <w:sz w:val="18"/>
            <w:szCs w:val="18"/>
            <w:lang w:val="fr-FR"/>
          </w:rPr>
          <w:t>http://www.afh.asso.fr/IMG/pdf/2ndeedit_livre-blanc_vivre_comme_les_autres_2011.pdf</w:t>
        </w:r>
      </w:hyperlink>
      <w:r w:rsidRPr="00DF0B00">
        <w:rPr>
          <w:sz w:val="18"/>
          <w:szCs w:val="18"/>
          <w:lang w:val="fr-FR"/>
        </w:rPr>
        <w:t xml:space="preserve"> </w:t>
      </w:r>
    </w:p>
  </w:footnote>
  <w:footnote w:id="30">
    <w:p w:rsidR="00CF4DD9" w:rsidRPr="0095593C" w:rsidRDefault="00CF4DD9" w:rsidP="00CF4DD9">
      <w:pPr>
        <w:pStyle w:val="FootnoteText"/>
        <w:rPr>
          <w:lang w:val="fr-FR"/>
        </w:rPr>
      </w:pPr>
      <w:r>
        <w:rPr>
          <w:rStyle w:val="FootnoteReference"/>
        </w:rPr>
        <w:footnoteRef/>
      </w:r>
      <w:r w:rsidRPr="0095593C">
        <w:rPr>
          <w:lang w:val="fr-FR"/>
        </w:rPr>
        <w:t xml:space="preserve"> Observatoire du CISS sur les droits des maladies rapport annuel de santé info droit 2011</w:t>
      </w:r>
    </w:p>
  </w:footnote>
  <w:footnote w:id="31">
    <w:p w:rsidR="00CF4DD9" w:rsidRPr="003A0419" w:rsidRDefault="00CF4DD9" w:rsidP="00CF4DD9">
      <w:pPr>
        <w:pStyle w:val="FootnoteText"/>
        <w:rPr>
          <w:lang w:val="fr-FR"/>
        </w:rPr>
      </w:pPr>
      <w:r>
        <w:rPr>
          <w:rStyle w:val="FootnoteReference"/>
        </w:rPr>
        <w:footnoteRef/>
      </w:r>
      <w:r w:rsidRPr="003A0419">
        <w:rPr>
          <w:lang w:val="fr-FR"/>
        </w:rPr>
        <w:t xml:space="preserve"> </w:t>
      </w:r>
      <w:hyperlink r:id="rId6" w:history="1">
        <w:r w:rsidRPr="00512C1A">
          <w:rPr>
            <w:rStyle w:val="Hyperlink"/>
            <w:lang w:val="fr-FR"/>
          </w:rPr>
          <w:t>http://www.eurofound.europa.eu/observatories/eurwork/comparative-information/employment-opportunities-for-people-with-chronic-diseases</w:t>
        </w:r>
      </w:hyperlink>
      <w:r>
        <w:rPr>
          <w:lang w:val="fr-FR"/>
        </w:rPr>
        <w:t xml:space="preserve"> </w:t>
      </w:r>
    </w:p>
  </w:footnote>
  <w:footnote w:id="32">
    <w:p w:rsidR="008248FE" w:rsidRPr="00476F91" w:rsidRDefault="008248FE">
      <w:pPr>
        <w:pStyle w:val="FootnoteText"/>
        <w:rPr>
          <w:sz w:val="18"/>
          <w:szCs w:val="18"/>
        </w:rPr>
      </w:pPr>
      <w:r w:rsidRPr="00476F91">
        <w:rPr>
          <w:rStyle w:val="FootnoteReference"/>
          <w:sz w:val="18"/>
          <w:szCs w:val="18"/>
        </w:rPr>
        <w:footnoteRef/>
      </w:r>
      <w:r w:rsidRPr="00476F91">
        <w:rPr>
          <w:sz w:val="18"/>
          <w:szCs w:val="18"/>
        </w:rPr>
        <w:t xml:space="preserve"> </w:t>
      </w:r>
      <w:hyperlink r:id="rId7" w:history="1">
        <w:r w:rsidRPr="00476F91">
          <w:rPr>
            <w:rStyle w:val="Hyperlink"/>
            <w:sz w:val="18"/>
            <w:szCs w:val="18"/>
          </w:rPr>
          <w:t>http://www.economistinsights.com/sites/default/files/Out%20of%20office_WEB.pdf</w:t>
        </w:r>
      </w:hyperlink>
      <w:r w:rsidRPr="00476F91">
        <w:rPr>
          <w:sz w:val="18"/>
          <w:szCs w:val="18"/>
        </w:rPr>
        <w:t>, P5</w:t>
      </w:r>
    </w:p>
  </w:footnote>
  <w:footnote w:id="33">
    <w:p w:rsidR="008248FE" w:rsidRPr="00476F91" w:rsidRDefault="008248FE">
      <w:pPr>
        <w:pStyle w:val="FootnoteText"/>
        <w:rPr>
          <w:sz w:val="18"/>
          <w:szCs w:val="18"/>
        </w:rPr>
      </w:pPr>
      <w:r w:rsidRPr="00476F91">
        <w:rPr>
          <w:rStyle w:val="FootnoteReference"/>
          <w:sz w:val="18"/>
          <w:szCs w:val="18"/>
        </w:rPr>
        <w:footnoteRef/>
      </w:r>
      <w:r w:rsidRPr="00476F91">
        <w:rPr>
          <w:sz w:val="18"/>
          <w:szCs w:val="18"/>
        </w:rPr>
        <w:t xml:space="preserve"> http://www.economistinsights.com/sites/default/files/Out%20of%20office_WEB.pdf, p7</w:t>
      </w:r>
    </w:p>
  </w:footnote>
  <w:footnote w:id="34">
    <w:p w:rsidR="008248FE" w:rsidRPr="00476F91" w:rsidRDefault="008248FE">
      <w:pPr>
        <w:pStyle w:val="FootnoteText"/>
        <w:rPr>
          <w:sz w:val="18"/>
          <w:szCs w:val="18"/>
        </w:rPr>
      </w:pPr>
      <w:r w:rsidRPr="00476F91">
        <w:rPr>
          <w:rStyle w:val="FootnoteReference"/>
          <w:sz w:val="18"/>
          <w:szCs w:val="18"/>
        </w:rPr>
        <w:footnoteRef/>
      </w:r>
      <w:r w:rsidRPr="00476F91">
        <w:rPr>
          <w:sz w:val="18"/>
          <w:szCs w:val="18"/>
        </w:rPr>
        <w:t xml:space="preserve">   http://www.eurofound.europa.eu/observatories/eurwork/comparative-information/employment-opportunities-for-people-with-chronic-diseases</w:t>
      </w:r>
    </w:p>
  </w:footnote>
  <w:footnote w:id="35">
    <w:p w:rsidR="008248FE" w:rsidRPr="00E81F76" w:rsidRDefault="008248FE">
      <w:pPr>
        <w:pStyle w:val="FootnoteText"/>
      </w:pPr>
      <w:r w:rsidRPr="00476F91">
        <w:rPr>
          <w:rStyle w:val="FootnoteReference"/>
          <w:sz w:val="18"/>
          <w:szCs w:val="18"/>
        </w:rPr>
        <w:footnoteRef/>
      </w:r>
      <w:r w:rsidRPr="00476F91">
        <w:rPr>
          <w:sz w:val="18"/>
          <w:szCs w:val="18"/>
        </w:rPr>
        <w:t xml:space="preserve"> http://www.lemonde.fr/societe/article/2014/04/17/le-retour-au-travail-apres-un-cancer-reste-souvent-problematique_4402828_3224.html</w:t>
      </w:r>
    </w:p>
  </w:footnote>
  <w:footnote w:id="36">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http://ec.europa.eu/health/patient_safety/docs/empathie_frep_en.pdf, p6 </w:t>
      </w:r>
    </w:p>
  </w:footnote>
  <w:footnote w:id="37">
    <w:p w:rsidR="008248FE" w:rsidRDefault="008248FE">
      <w:pPr>
        <w:pStyle w:val="FootnoteText"/>
      </w:pPr>
      <w:r w:rsidRPr="00737B4C">
        <w:rPr>
          <w:rStyle w:val="FootnoteReference"/>
          <w:sz w:val="18"/>
          <w:szCs w:val="18"/>
        </w:rPr>
        <w:footnoteRef/>
      </w:r>
      <w:r w:rsidRPr="00737B4C">
        <w:rPr>
          <w:sz w:val="18"/>
          <w:szCs w:val="18"/>
        </w:rPr>
        <w:t xml:space="preserve"> </w:t>
      </w:r>
      <w:hyperlink r:id="rId8" w:history="1">
        <w:r w:rsidRPr="00737B4C">
          <w:rPr>
            <w:rStyle w:val="Hyperlink"/>
            <w:sz w:val="18"/>
            <w:szCs w:val="18"/>
          </w:rPr>
          <w:t>http://www.fitforworkeurope.eu/REPORT%20-%20Self-management%20of%20chronic%20musculoskeletal%20disorders%2009%202014.pdf</w:t>
        </w:r>
      </w:hyperlink>
      <w:r w:rsidRPr="00737B4C">
        <w:rPr>
          <w:sz w:val="18"/>
          <w:szCs w:val="18"/>
        </w:rPr>
        <w:t>, p4-8</w:t>
      </w:r>
    </w:p>
  </w:footnote>
  <w:footnote w:id="38">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Event report available at: http://www.emsp.org/attachments/article/198/Neurodegenerative%20diseases%20event_final%20report.pdf</w:t>
      </w:r>
    </w:p>
  </w:footnote>
  <w:footnote w:id="39">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http://www.efanet.org/wp-content/documents/EFANewsletterCOPDWorkshop2.pdf</w:t>
      </w:r>
    </w:p>
  </w:footnote>
  <w:footnote w:id="40">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http://www.emsp.org/attachments/article/299/EMSP_PACT.pdf</w:t>
      </w:r>
    </w:p>
  </w:footnote>
  <w:footnote w:id="41">
    <w:p w:rsidR="008248FE" w:rsidRDefault="008248FE">
      <w:pPr>
        <w:pStyle w:val="FootnoteText"/>
      </w:pPr>
      <w:r w:rsidRPr="00737B4C">
        <w:rPr>
          <w:rStyle w:val="FootnoteReference"/>
          <w:sz w:val="18"/>
          <w:szCs w:val="18"/>
        </w:rPr>
        <w:footnoteRef/>
      </w:r>
      <w:r w:rsidRPr="00737B4C">
        <w:rPr>
          <w:sz w:val="18"/>
          <w:szCs w:val="18"/>
        </w:rPr>
        <w:t xml:space="preserve"> http://gamian.eu/wp-content/uploads/2014/11/Arteel_19-11-2014-Mental-Illness-and-Workplace.pdf</w:t>
      </w:r>
    </w:p>
  </w:footnote>
  <w:footnote w:id="42">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http://eur-lex.europa.eu/legal-content/EN/NOT/?uri=CELEX:32000L0078</w:t>
      </w:r>
    </w:p>
  </w:footnote>
  <w:footnote w:id="43">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http://ec.europa.eu/social/main.jsp?catId=1137&amp;langId=en</w:t>
      </w:r>
    </w:p>
  </w:footnote>
  <w:footnote w:id="44">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http://ec.europa.eu/social/main.jsp?catId=1036</w:t>
      </w:r>
    </w:p>
  </w:footnote>
  <w:footnote w:id="45">
    <w:p w:rsidR="008248FE" w:rsidRDefault="008248FE">
      <w:pPr>
        <w:pStyle w:val="FootnoteText"/>
      </w:pPr>
      <w:r w:rsidRPr="00737B4C">
        <w:rPr>
          <w:rStyle w:val="FootnoteReference"/>
          <w:sz w:val="18"/>
          <w:szCs w:val="18"/>
        </w:rPr>
        <w:footnoteRef/>
      </w:r>
      <w:r w:rsidRPr="00737B4C">
        <w:rPr>
          <w:sz w:val="18"/>
          <w:szCs w:val="18"/>
        </w:rPr>
        <w:t xml:space="preserve"> </w:t>
      </w:r>
      <w:hyperlink r:id="rId9" w:history="1">
        <w:r w:rsidRPr="00737B4C">
          <w:rPr>
            <w:rStyle w:val="Hyperlink"/>
            <w:sz w:val="18"/>
            <w:szCs w:val="18"/>
          </w:rPr>
          <w:t>https://osha.europa.eu/en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FE" w:rsidRDefault="008248FE" w:rsidP="006825BF">
    <w:pPr>
      <w:pStyle w:val="Header"/>
      <w:tabs>
        <w:tab w:val="clear" w:pos="4513"/>
      </w:tabs>
    </w:pPr>
    <w:r>
      <w:rPr>
        <w:noProof/>
        <w:lang w:eastAsia="en-GB"/>
      </w:rPr>
      <w:drawing>
        <wp:anchor distT="0" distB="0" distL="114300" distR="114300" simplePos="0" relativeHeight="251669504" behindDoc="0" locked="0" layoutInCell="1" allowOverlap="1" wp14:anchorId="32DCF6C6" wp14:editId="61F3CCFD">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8FE" w:rsidRDefault="008248FE">
    <w:pPr>
      <w:pStyle w:val="Header"/>
    </w:pPr>
  </w:p>
  <w:p w:rsidR="008248FE" w:rsidRDefault="00824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FE" w:rsidRPr="006825BF" w:rsidRDefault="008248FE" w:rsidP="006825BF">
    <w:pPr>
      <w:pStyle w:val="Header"/>
    </w:pPr>
    <w:r>
      <w:rPr>
        <w:noProof/>
        <w:lang w:eastAsia="en-GB"/>
      </w:rPr>
      <w:drawing>
        <wp:anchor distT="0" distB="0" distL="114300" distR="114300" simplePos="0" relativeHeight="251663360" behindDoc="0" locked="0" layoutInCell="1" allowOverlap="1" wp14:anchorId="56A258CE" wp14:editId="2D35C55B">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3F1"/>
    <w:multiLevelType w:val="hybridMultilevel"/>
    <w:tmpl w:val="7520B384"/>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0521C"/>
    <w:multiLevelType w:val="hybridMultilevel"/>
    <w:tmpl w:val="92809E0C"/>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13441"/>
    <w:multiLevelType w:val="hybridMultilevel"/>
    <w:tmpl w:val="FCEC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E25E2D"/>
    <w:multiLevelType w:val="multilevel"/>
    <w:tmpl w:val="08090025"/>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65335DF"/>
    <w:multiLevelType w:val="hybridMultilevel"/>
    <w:tmpl w:val="DB9C7198"/>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100DD7"/>
    <w:multiLevelType w:val="hybridMultilevel"/>
    <w:tmpl w:val="9A426D54"/>
    <w:lvl w:ilvl="0" w:tplc="89AACA2E">
      <w:numFmt w:val="bullet"/>
      <w:lvlText w:val="•"/>
      <w:lvlJc w:val="left"/>
      <w:pPr>
        <w:ind w:left="720" w:hanging="360"/>
      </w:pPr>
      <w:rPr>
        <w:rFonts w:ascii="Calibri" w:eastAsiaTheme="minorHAnsi" w:hAnsi="Calibri" w:cstheme="minorBid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742B86"/>
    <w:multiLevelType w:val="hybridMultilevel"/>
    <w:tmpl w:val="E43A34E0"/>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A24585"/>
    <w:multiLevelType w:val="hybridMultilevel"/>
    <w:tmpl w:val="8ACC3052"/>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4171CC"/>
    <w:multiLevelType w:val="hybridMultilevel"/>
    <w:tmpl w:val="3E0EFE22"/>
    <w:lvl w:ilvl="0" w:tplc="7E70266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35A4428"/>
    <w:multiLevelType w:val="hybridMultilevel"/>
    <w:tmpl w:val="FE5E23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122C7A"/>
    <w:multiLevelType w:val="hybridMultilevel"/>
    <w:tmpl w:val="231EB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4B459D"/>
    <w:multiLevelType w:val="hybridMultilevel"/>
    <w:tmpl w:val="C114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6C346E"/>
    <w:multiLevelType w:val="hybridMultilevel"/>
    <w:tmpl w:val="50CE77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E04D02"/>
    <w:multiLevelType w:val="hybridMultilevel"/>
    <w:tmpl w:val="B10C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281D98"/>
    <w:multiLevelType w:val="hybridMultilevel"/>
    <w:tmpl w:val="0D6A1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990C18"/>
    <w:multiLevelType w:val="hybridMultilevel"/>
    <w:tmpl w:val="65BE9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6D2D04"/>
    <w:multiLevelType w:val="hybridMultilevel"/>
    <w:tmpl w:val="70365D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C15539"/>
    <w:multiLevelType w:val="hybridMultilevel"/>
    <w:tmpl w:val="43765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DA51D3"/>
    <w:multiLevelType w:val="hybridMultilevel"/>
    <w:tmpl w:val="C42208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106892"/>
    <w:multiLevelType w:val="hybridMultilevel"/>
    <w:tmpl w:val="F744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6D55F2"/>
    <w:multiLevelType w:val="hybridMultilevel"/>
    <w:tmpl w:val="D2327468"/>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E62CC7"/>
    <w:multiLevelType w:val="hybridMultilevel"/>
    <w:tmpl w:val="F8BAAD7A"/>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8C2235"/>
    <w:multiLevelType w:val="hybridMultilevel"/>
    <w:tmpl w:val="EC7600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5A771E"/>
    <w:multiLevelType w:val="hybridMultilevel"/>
    <w:tmpl w:val="35CC371C"/>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076D93"/>
    <w:multiLevelType w:val="hybridMultilevel"/>
    <w:tmpl w:val="F07EBF26"/>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9"/>
  </w:num>
  <w:num w:numId="4">
    <w:abstractNumId w:val="8"/>
  </w:num>
  <w:num w:numId="5">
    <w:abstractNumId w:val="11"/>
  </w:num>
  <w:num w:numId="6">
    <w:abstractNumId w:val="6"/>
  </w:num>
  <w:num w:numId="7">
    <w:abstractNumId w:val="0"/>
  </w:num>
  <w:num w:numId="8">
    <w:abstractNumId w:val="24"/>
  </w:num>
  <w:num w:numId="9">
    <w:abstractNumId w:val="23"/>
  </w:num>
  <w:num w:numId="10">
    <w:abstractNumId w:val="7"/>
  </w:num>
  <w:num w:numId="11">
    <w:abstractNumId w:val="1"/>
  </w:num>
  <w:num w:numId="12">
    <w:abstractNumId w:val="20"/>
  </w:num>
  <w:num w:numId="13">
    <w:abstractNumId w:val="13"/>
  </w:num>
  <w:num w:numId="14">
    <w:abstractNumId w:val="21"/>
  </w:num>
  <w:num w:numId="15">
    <w:abstractNumId w:val="2"/>
  </w:num>
  <w:num w:numId="16">
    <w:abstractNumId w:val="5"/>
  </w:num>
  <w:num w:numId="17">
    <w:abstractNumId w:val="4"/>
  </w:num>
  <w:num w:numId="18">
    <w:abstractNumId w:val="18"/>
  </w:num>
  <w:num w:numId="19">
    <w:abstractNumId w:val="9"/>
  </w:num>
  <w:num w:numId="20">
    <w:abstractNumId w:val="16"/>
  </w:num>
  <w:num w:numId="21">
    <w:abstractNumId w:val="12"/>
  </w:num>
  <w:num w:numId="22">
    <w:abstractNumId w:val="22"/>
  </w:num>
  <w:num w:numId="23">
    <w:abstractNumId w:val="10"/>
  </w:num>
  <w:num w:numId="24">
    <w:abstractNumId w:val="15"/>
  </w:num>
  <w:num w:numId="2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50"/>
    <w:rsid w:val="00005589"/>
    <w:rsid w:val="000074B0"/>
    <w:rsid w:val="00020082"/>
    <w:rsid w:val="000278B2"/>
    <w:rsid w:val="00040F2F"/>
    <w:rsid w:val="00061EED"/>
    <w:rsid w:val="00071E5A"/>
    <w:rsid w:val="00075EE2"/>
    <w:rsid w:val="000A0A76"/>
    <w:rsid w:val="000A3929"/>
    <w:rsid w:val="000A59D0"/>
    <w:rsid w:val="000B541E"/>
    <w:rsid w:val="000C0DBC"/>
    <w:rsid w:val="000C2EA9"/>
    <w:rsid w:val="000C48E0"/>
    <w:rsid w:val="000C641C"/>
    <w:rsid w:val="000D0F6C"/>
    <w:rsid w:val="000E4661"/>
    <w:rsid w:val="000E6306"/>
    <w:rsid w:val="000F50EA"/>
    <w:rsid w:val="001135C1"/>
    <w:rsid w:val="00114441"/>
    <w:rsid w:val="0013099A"/>
    <w:rsid w:val="00130F5A"/>
    <w:rsid w:val="00140EA3"/>
    <w:rsid w:val="0014371E"/>
    <w:rsid w:val="00146507"/>
    <w:rsid w:val="00164D73"/>
    <w:rsid w:val="00164E47"/>
    <w:rsid w:val="00165FEC"/>
    <w:rsid w:val="00174FFE"/>
    <w:rsid w:val="00186019"/>
    <w:rsid w:val="0018613A"/>
    <w:rsid w:val="001A6941"/>
    <w:rsid w:val="001A777A"/>
    <w:rsid w:val="001B26E2"/>
    <w:rsid w:val="001B7E7B"/>
    <w:rsid w:val="001C28C5"/>
    <w:rsid w:val="001C6735"/>
    <w:rsid w:val="001D5D46"/>
    <w:rsid w:val="001E0334"/>
    <w:rsid w:val="001E6E05"/>
    <w:rsid w:val="001F0021"/>
    <w:rsid w:val="001F0D2E"/>
    <w:rsid w:val="001F4C00"/>
    <w:rsid w:val="001F73F9"/>
    <w:rsid w:val="001F7C28"/>
    <w:rsid w:val="00206732"/>
    <w:rsid w:val="00216AF5"/>
    <w:rsid w:val="00217799"/>
    <w:rsid w:val="002260CF"/>
    <w:rsid w:val="00226176"/>
    <w:rsid w:val="0022747F"/>
    <w:rsid w:val="0023119F"/>
    <w:rsid w:val="00235F34"/>
    <w:rsid w:val="00237B95"/>
    <w:rsid w:val="00241A7C"/>
    <w:rsid w:val="0025210B"/>
    <w:rsid w:val="002545B3"/>
    <w:rsid w:val="00273D78"/>
    <w:rsid w:val="00283DF3"/>
    <w:rsid w:val="00285B1E"/>
    <w:rsid w:val="00293201"/>
    <w:rsid w:val="002B1C9D"/>
    <w:rsid w:val="002B34C7"/>
    <w:rsid w:val="002B5C23"/>
    <w:rsid w:val="002C4726"/>
    <w:rsid w:val="002D4A57"/>
    <w:rsid w:val="002D5A9A"/>
    <w:rsid w:val="002D7709"/>
    <w:rsid w:val="002E4B7A"/>
    <w:rsid w:val="002F6886"/>
    <w:rsid w:val="00300ABC"/>
    <w:rsid w:val="00303367"/>
    <w:rsid w:val="003075E2"/>
    <w:rsid w:val="00315A27"/>
    <w:rsid w:val="00333545"/>
    <w:rsid w:val="00336FB9"/>
    <w:rsid w:val="00342018"/>
    <w:rsid w:val="00354AFE"/>
    <w:rsid w:val="00356E42"/>
    <w:rsid w:val="00364451"/>
    <w:rsid w:val="00365D2E"/>
    <w:rsid w:val="00373205"/>
    <w:rsid w:val="00375CF0"/>
    <w:rsid w:val="00383100"/>
    <w:rsid w:val="00387A0E"/>
    <w:rsid w:val="0039371E"/>
    <w:rsid w:val="00394BAC"/>
    <w:rsid w:val="00395672"/>
    <w:rsid w:val="0039648C"/>
    <w:rsid w:val="003A0419"/>
    <w:rsid w:val="003A6C2B"/>
    <w:rsid w:val="003C4808"/>
    <w:rsid w:val="003D2463"/>
    <w:rsid w:val="003D2837"/>
    <w:rsid w:val="003D51F3"/>
    <w:rsid w:val="003E3EC9"/>
    <w:rsid w:val="003E6FC3"/>
    <w:rsid w:val="00403797"/>
    <w:rsid w:val="00425E22"/>
    <w:rsid w:val="00426401"/>
    <w:rsid w:val="00431AD2"/>
    <w:rsid w:val="00435B35"/>
    <w:rsid w:val="004373D3"/>
    <w:rsid w:val="004402D5"/>
    <w:rsid w:val="004430BA"/>
    <w:rsid w:val="004615B6"/>
    <w:rsid w:val="004659A4"/>
    <w:rsid w:val="00470710"/>
    <w:rsid w:val="00476F91"/>
    <w:rsid w:val="00484CF5"/>
    <w:rsid w:val="00484E08"/>
    <w:rsid w:val="00487F28"/>
    <w:rsid w:val="00490874"/>
    <w:rsid w:val="0049452A"/>
    <w:rsid w:val="00494C8C"/>
    <w:rsid w:val="00496FBF"/>
    <w:rsid w:val="004B612B"/>
    <w:rsid w:val="004C05E8"/>
    <w:rsid w:val="004C0D6C"/>
    <w:rsid w:val="004C481B"/>
    <w:rsid w:val="004C5838"/>
    <w:rsid w:val="004E207D"/>
    <w:rsid w:val="00500558"/>
    <w:rsid w:val="005049D3"/>
    <w:rsid w:val="00514E29"/>
    <w:rsid w:val="00522768"/>
    <w:rsid w:val="005329AA"/>
    <w:rsid w:val="00532C8D"/>
    <w:rsid w:val="00557974"/>
    <w:rsid w:val="005710FE"/>
    <w:rsid w:val="00573C4C"/>
    <w:rsid w:val="005746C8"/>
    <w:rsid w:val="00583214"/>
    <w:rsid w:val="005906BD"/>
    <w:rsid w:val="005918A4"/>
    <w:rsid w:val="005A0C72"/>
    <w:rsid w:val="005A122E"/>
    <w:rsid w:val="005A4836"/>
    <w:rsid w:val="005B4C5B"/>
    <w:rsid w:val="005C4AA6"/>
    <w:rsid w:val="005D4C4A"/>
    <w:rsid w:val="005D6672"/>
    <w:rsid w:val="005E76A2"/>
    <w:rsid w:val="005F32FD"/>
    <w:rsid w:val="005F3B3E"/>
    <w:rsid w:val="00620C67"/>
    <w:rsid w:val="006233A6"/>
    <w:rsid w:val="00625258"/>
    <w:rsid w:val="00637CEC"/>
    <w:rsid w:val="00640543"/>
    <w:rsid w:val="006418DC"/>
    <w:rsid w:val="00643B80"/>
    <w:rsid w:val="00644B5F"/>
    <w:rsid w:val="00645FF5"/>
    <w:rsid w:val="006479EA"/>
    <w:rsid w:val="00660870"/>
    <w:rsid w:val="00662AA4"/>
    <w:rsid w:val="006667F3"/>
    <w:rsid w:val="00671E42"/>
    <w:rsid w:val="00677C11"/>
    <w:rsid w:val="00681D5D"/>
    <w:rsid w:val="006825BF"/>
    <w:rsid w:val="0068595C"/>
    <w:rsid w:val="00690F4A"/>
    <w:rsid w:val="00694A5D"/>
    <w:rsid w:val="006A22B7"/>
    <w:rsid w:val="006A72F3"/>
    <w:rsid w:val="006A7EE5"/>
    <w:rsid w:val="006B1029"/>
    <w:rsid w:val="006B3B96"/>
    <w:rsid w:val="006B3DCD"/>
    <w:rsid w:val="006B619A"/>
    <w:rsid w:val="006C310C"/>
    <w:rsid w:val="006C37C6"/>
    <w:rsid w:val="006C50E9"/>
    <w:rsid w:val="006C6B49"/>
    <w:rsid w:val="006D1895"/>
    <w:rsid w:val="006F048F"/>
    <w:rsid w:val="006F5860"/>
    <w:rsid w:val="006F5DA8"/>
    <w:rsid w:val="007012BE"/>
    <w:rsid w:val="007076C4"/>
    <w:rsid w:val="007131DC"/>
    <w:rsid w:val="0072085E"/>
    <w:rsid w:val="00720B38"/>
    <w:rsid w:val="00720D35"/>
    <w:rsid w:val="007265ED"/>
    <w:rsid w:val="00733069"/>
    <w:rsid w:val="007340F5"/>
    <w:rsid w:val="00737B4C"/>
    <w:rsid w:val="00741BE9"/>
    <w:rsid w:val="00747E6F"/>
    <w:rsid w:val="00752416"/>
    <w:rsid w:val="00774A32"/>
    <w:rsid w:val="00781780"/>
    <w:rsid w:val="007A5F90"/>
    <w:rsid w:val="007C1D58"/>
    <w:rsid w:val="007C2205"/>
    <w:rsid w:val="007C22D1"/>
    <w:rsid w:val="007D21CF"/>
    <w:rsid w:val="007D37DB"/>
    <w:rsid w:val="007D3C8A"/>
    <w:rsid w:val="007D54C8"/>
    <w:rsid w:val="007E3998"/>
    <w:rsid w:val="007E6DBA"/>
    <w:rsid w:val="007F15CB"/>
    <w:rsid w:val="007F2B54"/>
    <w:rsid w:val="007F31A0"/>
    <w:rsid w:val="007F4AEF"/>
    <w:rsid w:val="007F588E"/>
    <w:rsid w:val="007F5F73"/>
    <w:rsid w:val="007F7619"/>
    <w:rsid w:val="00802B50"/>
    <w:rsid w:val="00817111"/>
    <w:rsid w:val="00822F6C"/>
    <w:rsid w:val="008248FE"/>
    <w:rsid w:val="008347A2"/>
    <w:rsid w:val="00840609"/>
    <w:rsid w:val="008417C0"/>
    <w:rsid w:val="00850F54"/>
    <w:rsid w:val="0085444A"/>
    <w:rsid w:val="00860BB8"/>
    <w:rsid w:val="00863592"/>
    <w:rsid w:val="008664F8"/>
    <w:rsid w:val="00870CF3"/>
    <w:rsid w:val="00875775"/>
    <w:rsid w:val="008764C0"/>
    <w:rsid w:val="00876C60"/>
    <w:rsid w:val="00881F41"/>
    <w:rsid w:val="00884614"/>
    <w:rsid w:val="0088780B"/>
    <w:rsid w:val="008A1EC7"/>
    <w:rsid w:val="008A63D2"/>
    <w:rsid w:val="008C053E"/>
    <w:rsid w:val="008D2953"/>
    <w:rsid w:val="008E61A6"/>
    <w:rsid w:val="008E709D"/>
    <w:rsid w:val="008F53EC"/>
    <w:rsid w:val="00917B3E"/>
    <w:rsid w:val="00924BB0"/>
    <w:rsid w:val="00925BDE"/>
    <w:rsid w:val="009435AF"/>
    <w:rsid w:val="00947902"/>
    <w:rsid w:val="00947D07"/>
    <w:rsid w:val="0095207B"/>
    <w:rsid w:val="0095593C"/>
    <w:rsid w:val="00973010"/>
    <w:rsid w:val="00974848"/>
    <w:rsid w:val="00975385"/>
    <w:rsid w:val="00983ECC"/>
    <w:rsid w:val="009849F0"/>
    <w:rsid w:val="00994CA6"/>
    <w:rsid w:val="009B62B1"/>
    <w:rsid w:val="009B73C4"/>
    <w:rsid w:val="009C48A8"/>
    <w:rsid w:val="009C4F21"/>
    <w:rsid w:val="009C707E"/>
    <w:rsid w:val="009D0092"/>
    <w:rsid w:val="009D402A"/>
    <w:rsid w:val="009E3BDE"/>
    <w:rsid w:val="009E6EDC"/>
    <w:rsid w:val="009E6FD8"/>
    <w:rsid w:val="009F2D86"/>
    <w:rsid w:val="009F772D"/>
    <w:rsid w:val="00A11907"/>
    <w:rsid w:val="00A23119"/>
    <w:rsid w:val="00A26CAE"/>
    <w:rsid w:val="00A34F7D"/>
    <w:rsid w:val="00A4137C"/>
    <w:rsid w:val="00A45A1C"/>
    <w:rsid w:val="00A51777"/>
    <w:rsid w:val="00A60CFA"/>
    <w:rsid w:val="00A63980"/>
    <w:rsid w:val="00A77183"/>
    <w:rsid w:val="00A87CE1"/>
    <w:rsid w:val="00A95ACA"/>
    <w:rsid w:val="00A96704"/>
    <w:rsid w:val="00AA1270"/>
    <w:rsid w:val="00AA1DC7"/>
    <w:rsid w:val="00AA3CEF"/>
    <w:rsid w:val="00AB737E"/>
    <w:rsid w:val="00AC45C2"/>
    <w:rsid w:val="00AC6299"/>
    <w:rsid w:val="00AD2329"/>
    <w:rsid w:val="00AD5C68"/>
    <w:rsid w:val="00AE093B"/>
    <w:rsid w:val="00AE51F3"/>
    <w:rsid w:val="00AF0705"/>
    <w:rsid w:val="00AF0F0F"/>
    <w:rsid w:val="00B11F4E"/>
    <w:rsid w:val="00B17345"/>
    <w:rsid w:val="00B25905"/>
    <w:rsid w:val="00B301DD"/>
    <w:rsid w:val="00B31478"/>
    <w:rsid w:val="00B34B83"/>
    <w:rsid w:val="00B537CA"/>
    <w:rsid w:val="00B53C06"/>
    <w:rsid w:val="00B65A87"/>
    <w:rsid w:val="00B73129"/>
    <w:rsid w:val="00B763C8"/>
    <w:rsid w:val="00B87075"/>
    <w:rsid w:val="00B9001A"/>
    <w:rsid w:val="00B948A6"/>
    <w:rsid w:val="00BB1007"/>
    <w:rsid w:val="00BB42A7"/>
    <w:rsid w:val="00BB7269"/>
    <w:rsid w:val="00BC4615"/>
    <w:rsid w:val="00BD5DD5"/>
    <w:rsid w:val="00BE088B"/>
    <w:rsid w:val="00BE0A90"/>
    <w:rsid w:val="00BE15BF"/>
    <w:rsid w:val="00BE5023"/>
    <w:rsid w:val="00BE50E0"/>
    <w:rsid w:val="00BF055D"/>
    <w:rsid w:val="00BF4F81"/>
    <w:rsid w:val="00BF58E2"/>
    <w:rsid w:val="00BF6568"/>
    <w:rsid w:val="00BF7155"/>
    <w:rsid w:val="00BF755E"/>
    <w:rsid w:val="00C03CFD"/>
    <w:rsid w:val="00C067E8"/>
    <w:rsid w:val="00C15DD0"/>
    <w:rsid w:val="00C50E63"/>
    <w:rsid w:val="00C574F3"/>
    <w:rsid w:val="00C60A8F"/>
    <w:rsid w:val="00C60F09"/>
    <w:rsid w:val="00C71543"/>
    <w:rsid w:val="00C72926"/>
    <w:rsid w:val="00C7469A"/>
    <w:rsid w:val="00C76F53"/>
    <w:rsid w:val="00C821EC"/>
    <w:rsid w:val="00C90294"/>
    <w:rsid w:val="00C9431E"/>
    <w:rsid w:val="00C97235"/>
    <w:rsid w:val="00CB7A00"/>
    <w:rsid w:val="00CC2B05"/>
    <w:rsid w:val="00CD0414"/>
    <w:rsid w:val="00CF1C86"/>
    <w:rsid w:val="00CF4DD9"/>
    <w:rsid w:val="00D00294"/>
    <w:rsid w:val="00D00E10"/>
    <w:rsid w:val="00D07057"/>
    <w:rsid w:val="00D07E4D"/>
    <w:rsid w:val="00D1770A"/>
    <w:rsid w:val="00D25F18"/>
    <w:rsid w:val="00D31E3B"/>
    <w:rsid w:val="00D35B98"/>
    <w:rsid w:val="00D50D54"/>
    <w:rsid w:val="00D51C6D"/>
    <w:rsid w:val="00D55131"/>
    <w:rsid w:val="00D55F4C"/>
    <w:rsid w:val="00D60654"/>
    <w:rsid w:val="00D66A8C"/>
    <w:rsid w:val="00D716DB"/>
    <w:rsid w:val="00D81029"/>
    <w:rsid w:val="00D85BE9"/>
    <w:rsid w:val="00D9075C"/>
    <w:rsid w:val="00D9308E"/>
    <w:rsid w:val="00D94277"/>
    <w:rsid w:val="00D95323"/>
    <w:rsid w:val="00DA09FD"/>
    <w:rsid w:val="00DA4FE7"/>
    <w:rsid w:val="00DB077E"/>
    <w:rsid w:val="00DB3EB2"/>
    <w:rsid w:val="00DB64F0"/>
    <w:rsid w:val="00DC047B"/>
    <w:rsid w:val="00DC070B"/>
    <w:rsid w:val="00DC72BB"/>
    <w:rsid w:val="00DD617C"/>
    <w:rsid w:val="00DE170F"/>
    <w:rsid w:val="00DE1C9A"/>
    <w:rsid w:val="00DE3758"/>
    <w:rsid w:val="00DE54FE"/>
    <w:rsid w:val="00E06356"/>
    <w:rsid w:val="00E21064"/>
    <w:rsid w:val="00E4208E"/>
    <w:rsid w:val="00E44C1A"/>
    <w:rsid w:val="00E51F90"/>
    <w:rsid w:val="00E5295B"/>
    <w:rsid w:val="00E53DA7"/>
    <w:rsid w:val="00E5682E"/>
    <w:rsid w:val="00E640CD"/>
    <w:rsid w:val="00E72849"/>
    <w:rsid w:val="00E72FBA"/>
    <w:rsid w:val="00E756BE"/>
    <w:rsid w:val="00E81F76"/>
    <w:rsid w:val="00E90B4C"/>
    <w:rsid w:val="00E957C2"/>
    <w:rsid w:val="00EA39B0"/>
    <w:rsid w:val="00EB3AB4"/>
    <w:rsid w:val="00EE2E88"/>
    <w:rsid w:val="00EE654C"/>
    <w:rsid w:val="00F0092E"/>
    <w:rsid w:val="00F03F11"/>
    <w:rsid w:val="00F07B5A"/>
    <w:rsid w:val="00F13BB1"/>
    <w:rsid w:val="00F14B5D"/>
    <w:rsid w:val="00F17E7B"/>
    <w:rsid w:val="00F216FD"/>
    <w:rsid w:val="00F25051"/>
    <w:rsid w:val="00F31B0B"/>
    <w:rsid w:val="00F44547"/>
    <w:rsid w:val="00F56349"/>
    <w:rsid w:val="00F637F9"/>
    <w:rsid w:val="00F80E12"/>
    <w:rsid w:val="00F83BD1"/>
    <w:rsid w:val="00F8641E"/>
    <w:rsid w:val="00F956F3"/>
    <w:rsid w:val="00FA2EA8"/>
    <w:rsid w:val="00FA5DA5"/>
    <w:rsid w:val="00FA5F39"/>
    <w:rsid w:val="00FB7650"/>
    <w:rsid w:val="00FB7AB0"/>
    <w:rsid w:val="00FC513D"/>
    <w:rsid w:val="00FC6704"/>
    <w:rsid w:val="00FE1D46"/>
    <w:rsid w:val="00FE7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F3"/>
  </w:style>
  <w:style w:type="paragraph" w:styleId="Heading1">
    <w:name w:val="heading 1"/>
    <w:basedOn w:val="Normal"/>
    <w:next w:val="Normal"/>
    <w:link w:val="Heading1Char"/>
    <w:uiPriority w:val="9"/>
    <w:qFormat/>
    <w:rsid w:val="00B73129"/>
    <w:pPr>
      <w:keepNext/>
      <w:keepLines/>
      <w:numPr>
        <w:numId w:val="1"/>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1"/>
      </w:numPr>
      <w:spacing w:before="200"/>
      <w:ind w:left="718"/>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1"/>
      </w:numPr>
      <w:spacing w:before="200"/>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numPr>
        <w:ilvl w:val="3"/>
        <w:numId w:val="1"/>
      </w:numPr>
      <w:spacing w:before="200" w:after="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numPr>
        <w:ilvl w:val="4"/>
        <w:numId w:val="1"/>
      </w:numPr>
      <w:spacing w:before="200" w:after="0"/>
      <w:outlineLvl w:val="4"/>
    </w:pPr>
    <w:rPr>
      <w:rFonts w:ascii="Candara" w:eastAsiaTheme="majorEastAsia" w:hAnsi="Candara" w:cstheme="majorBidi"/>
      <w:i/>
      <w:color w:val="4F81BD" w:themeColor="accent1"/>
      <w:sz w:val="24"/>
    </w:rPr>
  </w:style>
  <w:style w:type="paragraph" w:styleId="Heading6">
    <w:name w:val="heading 6"/>
    <w:basedOn w:val="Normal"/>
    <w:next w:val="Normal"/>
    <w:link w:val="Heading6Char"/>
    <w:uiPriority w:val="9"/>
    <w:semiHidden/>
    <w:unhideWhenUsed/>
    <w:qFormat/>
    <w:rsid w:val="0049087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484E08"/>
    <w:pPr>
      <w:spacing w:after="0" w:line="240" w:lineRule="auto"/>
    </w:pPr>
    <w:rPr>
      <w:sz w:val="20"/>
      <w:szCs w:val="20"/>
    </w:rPr>
  </w:style>
  <w:style w:type="character" w:customStyle="1" w:styleId="FootnoteTextChar">
    <w:name w:val="Footnote Text Char"/>
    <w:basedOn w:val="DefaultParagraphFont"/>
    <w:link w:val="FootnoteText"/>
    <w:uiPriority w:val="99"/>
    <w:rsid w:val="00484E08"/>
    <w:rPr>
      <w:sz w:val="20"/>
      <w:szCs w:val="20"/>
    </w:rPr>
  </w:style>
  <w:style w:type="character" w:styleId="FootnoteReference">
    <w:name w:val="footnote reference"/>
    <w:basedOn w:val="DefaultParagraphFont"/>
    <w:uiPriority w:val="99"/>
    <w:semiHidden/>
    <w:unhideWhenUsed/>
    <w:rsid w:val="00484E08"/>
    <w:rPr>
      <w:vertAlign w:val="superscript"/>
    </w:rPr>
  </w:style>
  <w:style w:type="paragraph" w:customStyle="1" w:styleId="Default">
    <w:name w:val="Default"/>
    <w:rsid w:val="00A95A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35B98"/>
    <w:rPr>
      <w:sz w:val="16"/>
      <w:szCs w:val="16"/>
    </w:rPr>
  </w:style>
  <w:style w:type="paragraph" w:styleId="CommentText">
    <w:name w:val="annotation text"/>
    <w:basedOn w:val="Normal"/>
    <w:link w:val="CommentTextChar"/>
    <w:uiPriority w:val="99"/>
    <w:semiHidden/>
    <w:unhideWhenUsed/>
    <w:rsid w:val="00D35B98"/>
    <w:pPr>
      <w:spacing w:line="240" w:lineRule="auto"/>
    </w:pPr>
    <w:rPr>
      <w:sz w:val="20"/>
      <w:szCs w:val="20"/>
    </w:rPr>
  </w:style>
  <w:style w:type="character" w:customStyle="1" w:styleId="CommentTextChar">
    <w:name w:val="Comment Text Char"/>
    <w:basedOn w:val="DefaultParagraphFont"/>
    <w:link w:val="CommentText"/>
    <w:uiPriority w:val="99"/>
    <w:semiHidden/>
    <w:rsid w:val="00D35B98"/>
    <w:rPr>
      <w:sz w:val="20"/>
      <w:szCs w:val="20"/>
    </w:rPr>
  </w:style>
  <w:style w:type="paragraph" w:styleId="CommentSubject">
    <w:name w:val="annotation subject"/>
    <w:basedOn w:val="CommentText"/>
    <w:next w:val="CommentText"/>
    <w:link w:val="CommentSubjectChar"/>
    <w:uiPriority w:val="99"/>
    <w:semiHidden/>
    <w:unhideWhenUsed/>
    <w:rsid w:val="00D35B98"/>
    <w:rPr>
      <w:b/>
      <w:bCs/>
    </w:rPr>
  </w:style>
  <w:style w:type="character" w:customStyle="1" w:styleId="CommentSubjectChar">
    <w:name w:val="Comment Subject Char"/>
    <w:basedOn w:val="CommentTextChar"/>
    <w:link w:val="CommentSubject"/>
    <w:uiPriority w:val="99"/>
    <w:semiHidden/>
    <w:rsid w:val="00D35B98"/>
    <w:rPr>
      <w:b/>
      <w:bCs/>
      <w:sz w:val="20"/>
      <w:szCs w:val="20"/>
    </w:rPr>
  </w:style>
  <w:style w:type="character" w:styleId="FollowedHyperlink">
    <w:name w:val="FollowedHyperlink"/>
    <w:basedOn w:val="DefaultParagraphFont"/>
    <w:uiPriority w:val="99"/>
    <w:semiHidden/>
    <w:unhideWhenUsed/>
    <w:rsid w:val="002E4B7A"/>
    <w:rPr>
      <w:color w:val="800080" w:themeColor="followedHyperlink"/>
      <w:u w:val="single"/>
    </w:rPr>
  </w:style>
  <w:style w:type="character" w:customStyle="1" w:styleId="apple-converted-space">
    <w:name w:val="apple-converted-space"/>
    <w:basedOn w:val="DefaultParagraphFont"/>
    <w:rsid w:val="00EE654C"/>
  </w:style>
  <w:style w:type="character" w:styleId="Strong">
    <w:name w:val="Strong"/>
    <w:basedOn w:val="DefaultParagraphFont"/>
    <w:uiPriority w:val="22"/>
    <w:qFormat/>
    <w:rsid w:val="00EE654C"/>
    <w:rPr>
      <w:b/>
      <w:bCs/>
    </w:rPr>
  </w:style>
  <w:style w:type="table" w:styleId="TableGrid">
    <w:name w:val="Table Grid"/>
    <w:basedOn w:val="TableNormal"/>
    <w:uiPriority w:val="59"/>
    <w:rsid w:val="001C28C5"/>
    <w:pPr>
      <w:spacing w:after="0" w:line="240" w:lineRule="auto"/>
    </w:pPr>
    <w:rPr>
      <w:rFonts w:ascii="Times New Roman" w:eastAsia="Times New Roman" w:hAnsi="Times New Roman" w:cs="Times New Roman"/>
      <w:sz w:val="20"/>
      <w:szCs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61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F3"/>
  </w:style>
  <w:style w:type="paragraph" w:styleId="Heading1">
    <w:name w:val="heading 1"/>
    <w:basedOn w:val="Normal"/>
    <w:next w:val="Normal"/>
    <w:link w:val="Heading1Char"/>
    <w:uiPriority w:val="9"/>
    <w:qFormat/>
    <w:rsid w:val="00B73129"/>
    <w:pPr>
      <w:keepNext/>
      <w:keepLines/>
      <w:numPr>
        <w:numId w:val="1"/>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1"/>
      </w:numPr>
      <w:spacing w:before="200"/>
      <w:ind w:left="718"/>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1"/>
      </w:numPr>
      <w:spacing w:before="200"/>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numPr>
        <w:ilvl w:val="3"/>
        <w:numId w:val="1"/>
      </w:numPr>
      <w:spacing w:before="200" w:after="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numPr>
        <w:ilvl w:val="4"/>
        <w:numId w:val="1"/>
      </w:numPr>
      <w:spacing w:before="200" w:after="0"/>
      <w:outlineLvl w:val="4"/>
    </w:pPr>
    <w:rPr>
      <w:rFonts w:ascii="Candara" w:eastAsiaTheme="majorEastAsia" w:hAnsi="Candara" w:cstheme="majorBidi"/>
      <w:i/>
      <w:color w:val="4F81BD" w:themeColor="accent1"/>
      <w:sz w:val="24"/>
    </w:rPr>
  </w:style>
  <w:style w:type="paragraph" w:styleId="Heading6">
    <w:name w:val="heading 6"/>
    <w:basedOn w:val="Normal"/>
    <w:next w:val="Normal"/>
    <w:link w:val="Heading6Char"/>
    <w:uiPriority w:val="9"/>
    <w:semiHidden/>
    <w:unhideWhenUsed/>
    <w:qFormat/>
    <w:rsid w:val="0049087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484E08"/>
    <w:pPr>
      <w:spacing w:after="0" w:line="240" w:lineRule="auto"/>
    </w:pPr>
    <w:rPr>
      <w:sz w:val="20"/>
      <w:szCs w:val="20"/>
    </w:rPr>
  </w:style>
  <w:style w:type="character" w:customStyle="1" w:styleId="FootnoteTextChar">
    <w:name w:val="Footnote Text Char"/>
    <w:basedOn w:val="DefaultParagraphFont"/>
    <w:link w:val="FootnoteText"/>
    <w:uiPriority w:val="99"/>
    <w:rsid w:val="00484E08"/>
    <w:rPr>
      <w:sz w:val="20"/>
      <w:szCs w:val="20"/>
    </w:rPr>
  </w:style>
  <w:style w:type="character" w:styleId="FootnoteReference">
    <w:name w:val="footnote reference"/>
    <w:basedOn w:val="DefaultParagraphFont"/>
    <w:uiPriority w:val="99"/>
    <w:semiHidden/>
    <w:unhideWhenUsed/>
    <w:rsid w:val="00484E08"/>
    <w:rPr>
      <w:vertAlign w:val="superscript"/>
    </w:rPr>
  </w:style>
  <w:style w:type="paragraph" w:customStyle="1" w:styleId="Default">
    <w:name w:val="Default"/>
    <w:rsid w:val="00A95A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35B98"/>
    <w:rPr>
      <w:sz w:val="16"/>
      <w:szCs w:val="16"/>
    </w:rPr>
  </w:style>
  <w:style w:type="paragraph" w:styleId="CommentText">
    <w:name w:val="annotation text"/>
    <w:basedOn w:val="Normal"/>
    <w:link w:val="CommentTextChar"/>
    <w:uiPriority w:val="99"/>
    <w:semiHidden/>
    <w:unhideWhenUsed/>
    <w:rsid w:val="00D35B98"/>
    <w:pPr>
      <w:spacing w:line="240" w:lineRule="auto"/>
    </w:pPr>
    <w:rPr>
      <w:sz w:val="20"/>
      <w:szCs w:val="20"/>
    </w:rPr>
  </w:style>
  <w:style w:type="character" w:customStyle="1" w:styleId="CommentTextChar">
    <w:name w:val="Comment Text Char"/>
    <w:basedOn w:val="DefaultParagraphFont"/>
    <w:link w:val="CommentText"/>
    <w:uiPriority w:val="99"/>
    <w:semiHidden/>
    <w:rsid w:val="00D35B98"/>
    <w:rPr>
      <w:sz w:val="20"/>
      <w:szCs w:val="20"/>
    </w:rPr>
  </w:style>
  <w:style w:type="paragraph" w:styleId="CommentSubject">
    <w:name w:val="annotation subject"/>
    <w:basedOn w:val="CommentText"/>
    <w:next w:val="CommentText"/>
    <w:link w:val="CommentSubjectChar"/>
    <w:uiPriority w:val="99"/>
    <w:semiHidden/>
    <w:unhideWhenUsed/>
    <w:rsid w:val="00D35B98"/>
    <w:rPr>
      <w:b/>
      <w:bCs/>
    </w:rPr>
  </w:style>
  <w:style w:type="character" w:customStyle="1" w:styleId="CommentSubjectChar">
    <w:name w:val="Comment Subject Char"/>
    <w:basedOn w:val="CommentTextChar"/>
    <w:link w:val="CommentSubject"/>
    <w:uiPriority w:val="99"/>
    <w:semiHidden/>
    <w:rsid w:val="00D35B98"/>
    <w:rPr>
      <w:b/>
      <w:bCs/>
      <w:sz w:val="20"/>
      <w:szCs w:val="20"/>
    </w:rPr>
  </w:style>
  <w:style w:type="character" w:styleId="FollowedHyperlink">
    <w:name w:val="FollowedHyperlink"/>
    <w:basedOn w:val="DefaultParagraphFont"/>
    <w:uiPriority w:val="99"/>
    <w:semiHidden/>
    <w:unhideWhenUsed/>
    <w:rsid w:val="002E4B7A"/>
    <w:rPr>
      <w:color w:val="800080" w:themeColor="followedHyperlink"/>
      <w:u w:val="single"/>
    </w:rPr>
  </w:style>
  <w:style w:type="character" w:customStyle="1" w:styleId="apple-converted-space">
    <w:name w:val="apple-converted-space"/>
    <w:basedOn w:val="DefaultParagraphFont"/>
    <w:rsid w:val="00EE654C"/>
  </w:style>
  <w:style w:type="character" w:styleId="Strong">
    <w:name w:val="Strong"/>
    <w:basedOn w:val="DefaultParagraphFont"/>
    <w:uiPriority w:val="22"/>
    <w:qFormat/>
    <w:rsid w:val="00EE654C"/>
    <w:rPr>
      <w:b/>
      <w:bCs/>
    </w:rPr>
  </w:style>
  <w:style w:type="table" w:styleId="TableGrid">
    <w:name w:val="Table Grid"/>
    <w:basedOn w:val="TableNormal"/>
    <w:uiPriority w:val="59"/>
    <w:rsid w:val="001C28C5"/>
    <w:pPr>
      <w:spacing w:after="0" w:line="240" w:lineRule="auto"/>
    </w:pPr>
    <w:rPr>
      <w:rFonts w:ascii="Times New Roman" w:eastAsia="Times New Roman" w:hAnsi="Times New Roman" w:cs="Times New Roman"/>
      <w:sz w:val="20"/>
      <w:szCs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6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pport.fitforwork.org/app/home/type/employe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fit2work.at/home/" TargetMode="External"/><Relationship Id="rId17" Type="http://schemas.openxmlformats.org/officeDocument/2006/relationships/image" Target="http://www.mentorfoundation.org/uploads/pictures/Flag-of-Europe-150.pn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port.fitforwork.org/app/home/type/employee" TargetMode="External"/><Relationship Id="rId5" Type="http://schemas.microsoft.com/office/2007/relationships/stylesWithEffects" Target="stylesWithEffects.xml"/><Relationship Id="rId15" Type="http://schemas.openxmlformats.org/officeDocument/2006/relationships/hyperlink" Target="http://www.eu-patient.eu/globalassets/policy/anti-discrimmination/epf-response-osh-2013.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it2work.at/hom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gif"/></Relationships>
</file>

<file path=word/_rels/footnotes.xml.rels><?xml version="1.0" encoding="UTF-8" standalone="yes"?>
<Relationships xmlns="http://schemas.openxmlformats.org/package/2006/relationships"><Relationship Id="rId8" Type="http://schemas.openxmlformats.org/officeDocument/2006/relationships/hyperlink" Target="http://www.fitforworkeurope.eu/REPORT%20-%20Self-management%20of%20chronic%20musculoskeletal%20disorders%2009%202014.pdf" TargetMode="External"/><Relationship Id="rId3" Type="http://schemas.openxmlformats.org/officeDocument/2006/relationships/hyperlink" Target="http://www.eurofound.europa.eu/observatories/eurwork/comparative-information/employment-opportunities-for-people-with-chronic-diseases" TargetMode="External"/><Relationship Id="rId7" Type="http://schemas.openxmlformats.org/officeDocument/2006/relationships/hyperlink" Target="http://www.economistinsights.com/sites/default/files/Out%20of%20office_WEB.pdf" TargetMode="External"/><Relationship Id="rId2" Type="http://schemas.openxmlformats.org/officeDocument/2006/relationships/hyperlink" Target="http://www.astri.nl/media/uploads/files/EF1226EN6.pdf" TargetMode="External"/><Relationship Id="rId1" Type="http://schemas.openxmlformats.org/officeDocument/2006/relationships/hyperlink" Target="http://ec.europa.eu/health/social_determinants/docs/final_full_ecorys_web.pdf" TargetMode="External"/><Relationship Id="rId6" Type="http://schemas.openxmlformats.org/officeDocument/2006/relationships/hyperlink" Target="http://www.eurofound.europa.eu/observatories/eurwork/comparative-information/employment-opportunities-for-people-with-chronic-diseases" TargetMode="External"/><Relationship Id="rId5" Type="http://schemas.openxmlformats.org/officeDocument/2006/relationships/hyperlink" Target="http://www.afh.asso.fr/IMG/pdf/2ndeedit_livre-blanc_vivre_comme_les_autres_2011.pdf" TargetMode="External"/><Relationship Id="rId4" Type="http://schemas.openxmlformats.org/officeDocument/2006/relationships/hyperlink" Target="http://www.enwhp.org/uploads/media/ENWHP_Guide_PH_Work_final.pdf" TargetMode="External"/><Relationship Id="rId9" Type="http://schemas.openxmlformats.org/officeDocument/2006/relationships/hyperlink" Target="https://osha.europa.eu/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DFCDFA-825A-4D4C-89EB-CCE5AC2D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5010</Words>
  <Characters>27959</Characters>
  <Application>Microsoft Office Word</Application>
  <DocSecurity>0</DocSecurity>
  <Lines>465</Lines>
  <Paragraphs>187</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32782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subject>Subject or subtitle</dc:subject>
  <dc:creator>Laurene</dc:creator>
  <cp:lastModifiedBy>Laurene</cp:lastModifiedBy>
  <cp:revision>2</cp:revision>
  <cp:lastPrinted>2015-04-24T14:50:00Z</cp:lastPrinted>
  <dcterms:created xsi:type="dcterms:W3CDTF">2015-04-24T16:40:00Z</dcterms:created>
  <dcterms:modified xsi:type="dcterms:W3CDTF">2015-04-24T16:40:00Z</dcterms:modified>
</cp:coreProperties>
</file>