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A153" w14:textId="77777777" w:rsidR="00514694" w:rsidRDefault="00514694" w:rsidP="00514694">
      <w:pPr>
        <w:pStyle w:val="Title"/>
        <w:rPr>
          <w:rStyle w:val="Heading1Char"/>
          <w:sz w:val="44"/>
          <w:shd w:val="clear" w:color="auto" w:fill="auto"/>
        </w:rPr>
      </w:pPr>
    </w:p>
    <w:p w14:paraId="4C7A4B12" w14:textId="77777777" w:rsidR="00514694" w:rsidRDefault="00514694" w:rsidP="00514694">
      <w:pPr>
        <w:pStyle w:val="Title"/>
        <w:rPr>
          <w:rStyle w:val="Heading1Char"/>
          <w:b w:val="0"/>
          <w:bCs w:val="0"/>
          <w:color w:val="16365C"/>
          <w:sz w:val="52"/>
          <w:szCs w:val="52"/>
          <w:shd w:val="clear" w:color="auto" w:fill="auto"/>
        </w:rPr>
      </w:pPr>
    </w:p>
    <w:p w14:paraId="041008A1" w14:textId="77777777" w:rsidR="00514694" w:rsidRDefault="00514694" w:rsidP="00514694">
      <w:pPr>
        <w:pStyle w:val="Title"/>
        <w:rPr>
          <w:rStyle w:val="Heading1Char"/>
          <w:b w:val="0"/>
          <w:bCs w:val="0"/>
          <w:color w:val="16365C"/>
          <w:sz w:val="52"/>
          <w:szCs w:val="52"/>
          <w:shd w:val="clear" w:color="auto" w:fill="auto"/>
        </w:rPr>
      </w:pPr>
      <w:bookmarkStart w:id="0" w:name="_Toc453835298"/>
      <w:bookmarkStart w:id="1" w:name="_Toc453835333"/>
      <w:bookmarkStart w:id="2" w:name="_Toc453835364"/>
    </w:p>
    <w:p w14:paraId="1027029A" w14:textId="77777777" w:rsidR="00514694" w:rsidRDefault="00514694" w:rsidP="00514694">
      <w:pPr>
        <w:pStyle w:val="Title"/>
        <w:rPr>
          <w:rStyle w:val="Heading1Char"/>
          <w:b w:val="0"/>
          <w:bCs w:val="0"/>
          <w:color w:val="16365C"/>
          <w:sz w:val="52"/>
          <w:szCs w:val="52"/>
          <w:shd w:val="clear" w:color="auto" w:fill="auto"/>
        </w:rPr>
      </w:pPr>
    </w:p>
    <w:p w14:paraId="0EE83B78" w14:textId="77777777" w:rsidR="00514694" w:rsidRDefault="00514694" w:rsidP="00514694">
      <w:pPr>
        <w:pStyle w:val="Title"/>
        <w:rPr>
          <w:rStyle w:val="Heading1Char"/>
          <w:b w:val="0"/>
          <w:bCs w:val="0"/>
          <w:color w:val="16365C"/>
          <w:sz w:val="52"/>
          <w:szCs w:val="52"/>
          <w:shd w:val="clear" w:color="auto" w:fill="auto"/>
        </w:rPr>
      </w:pPr>
    </w:p>
    <w:p w14:paraId="588C8180" w14:textId="09B3A422" w:rsidR="00421B64" w:rsidRPr="00614E07" w:rsidRDefault="00EE1FAC" w:rsidP="00614E07">
      <w:pPr>
        <w:jc w:val="center"/>
        <w:rPr>
          <w:rStyle w:val="Heading1Char"/>
          <w:b w:val="0"/>
          <w:bCs w:val="0"/>
          <w:color w:val="16365C"/>
          <w:sz w:val="56"/>
          <w:szCs w:val="52"/>
          <w:shd w:val="clear" w:color="auto" w:fill="auto"/>
        </w:rPr>
      </w:pPr>
      <w:bookmarkStart w:id="3" w:name="_Toc511039275"/>
      <w:r w:rsidRPr="00614E07">
        <w:rPr>
          <w:rStyle w:val="Heading1Char"/>
          <w:b w:val="0"/>
          <w:bCs w:val="0"/>
          <w:color w:val="16365C"/>
          <w:sz w:val="56"/>
          <w:szCs w:val="52"/>
          <w:shd w:val="clear" w:color="auto" w:fill="auto"/>
        </w:rPr>
        <w:t xml:space="preserve">EPF </w:t>
      </w:r>
      <w:r w:rsidR="00614E07" w:rsidRPr="00614E07">
        <w:rPr>
          <w:rStyle w:val="Heading1Char"/>
          <w:b w:val="0"/>
          <w:bCs w:val="0"/>
          <w:color w:val="16365C"/>
          <w:sz w:val="56"/>
          <w:szCs w:val="52"/>
          <w:shd w:val="clear" w:color="auto" w:fill="auto"/>
        </w:rPr>
        <w:t xml:space="preserve">Draft </w:t>
      </w:r>
      <w:r w:rsidRPr="00614E07">
        <w:rPr>
          <w:rStyle w:val="Heading1Char"/>
          <w:b w:val="0"/>
          <w:bCs w:val="0"/>
          <w:color w:val="16365C"/>
          <w:sz w:val="56"/>
          <w:szCs w:val="52"/>
          <w:shd w:val="clear" w:color="auto" w:fill="auto"/>
        </w:rPr>
        <w:t>Position on</w:t>
      </w:r>
      <w:r w:rsidR="00B902D0" w:rsidRPr="00614E07">
        <w:rPr>
          <w:rStyle w:val="Heading1Char"/>
          <w:b w:val="0"/>
          <w:bCs w:val="0"/>
          <w:color w:val="16365C"/>
          <w:sz w:val="56"/>
          <w:szCs w:val="52"/>
          <w:shd w:val="clear" w:color="auto" w:fill="auto"/>
        </w:rPr>
        <w:t xml:space="preserve"> </w:t>
      </w:r>
      <w:r w:rsidR="00614E07" w:rsidRPr="00614E07">
        <w:rPr>
          <w:rStyle w:val="Heading1Char"/>
          <w:b w:val="0"/>
          <w:bCs w:val="0"/>
          <w:color w:val="16365C"/>
          <w:sz w:val="56"/>
          <w:szCs w:val="52"/>
          <w:shd w:val="clear" w:color="auto" w:fill="auto"/>
        </w:rPr>
        <w:t>Value</w:t>
      </w:r>
      <w:r w:rsidR="00B902D0" w:rsidRPr="00614E07">
        <w:rPr>
          <w:rStyle w:val="Heading1Char"/>
          <w:b w:val="0"/>
          <w:bCs w:val="0"/>
          <w:color w:val="16365C"/>
          <w:sz w:val="56"/>
          <w:szCs w:val="52"/>
          <w:shd w:val="clear" w:color="auto" w:fill="auto"/>
        </w:rPr>
        <w:t xml:space="preserve"> </w:t>
      </w:r>
      <w:r w:rsidR="00614E07" w:rsidRPr="00614E07">
        <w:rPr>
          <w:rStyle w:val="Heading1Char"/>
          <w:b w:val="0"/>
          <w:bCs w:val="0"/>
          <w:color w:val="16365C"/>
          <w:sz w:val="56"/>
          <w:szCs w:val="52"/>
          <w:shd w:val="clear" w:color="auto" w:fill="auto"/>
        </w:rPr>
        <w:t xml:space="preserve">and Prices </w:t>
      </w:r>
      <w:r w:rsidR="00B902D0" w:rsidRPr="00614E07">
        <w:rPr>
          <w:rStyle w:val="Heading1Char"/>
          <w:b w:val="0"/>
          <w:bCs w:val="0"/>
          <w:color w:val="16365C"/>
          <w:sz w:val="56"/>
          <w:szCs w:val="52"/>
          <w:shd w:val="clear" w:color="auto" w:fill="auto"/>
        </w:rPr>
        <w:t>of Innovative Medicines</w:t>
      </w:r>
      <w:bookmarkEnd w:id="0"/>
      <w:bookmarkEnd w:id="1"/>
      <w:bookmarkEnd w:id="2"/>
      <w:r w:rsidRPr="00614E07">
        <w:rPr>
          <w:rStyle w:val="Heading1Char"/>
          <w:b w:val="0"/>
          <w:bCs w:val="0"/>
          <w:color w:val="16365C"/>
          <w:sz w:val="56"/>
          <w:szCs w:val="52"/>
          <w:shd w:val="clear" w:color="auto" w:fill="auto"/>
        </w:rPr>
        <w:t xml:space="preserve"> </w:t>
      </w:r>
      <w:r w:rsidR="00614E07">
        <w:rPr>
          <w:rStyle w:val="Heading1Char"/>
          <w:b w:val="0"/>
          <w:bCs w:val="0"/>
          <w:color w:val="16365C"/>
          <w:sz w:val="56"/>
          <w:szCs w:val="52"/>
          <w:shd w:val="clear" w:color="auto" w:fill="auto"/>
        </w:rPr>
        <w:t xml:space="preserve">2018 </w:t>
      </w:r>
      <w:r w:rsidRPr="00614E07">
        <w:rPr>
          <w:rStyle w:val="Heading1Char"/>
          <w:b w:val="0"/>
          <w:bCs w:val="0"/>
          <w:color w:val="16365C"/>
          <w:sz w:val="56"/>
          <w:szCs w:val="52"/>
          <w:shd w:val="clear" w:color="auto" w:fill="auto"/>
        </w:rPr>
        <w:t xml:space="preserve">– </w:t>
      </w:r>
      <w:r w:rsidR="00614E07" w:rsidRPr="00614E07">
        <w:rPr>
          <w:rStyle w:val="Heading1Char"/>
          <w:b w:val="0"/>
          <w:bCs w:val="0"/>
          <w:color w:val="16365C"/>
          <w:sz w:val="56"/>
          <w:szCs w:val="52"/>
          <w:shd w:val="clear" w:color="auto" w:fill="auto"/>
        </w:rPr>
        <w:t>Consultation</w:t>
      </w:r>
      <w:r w:rsidRPr="00614E07">
        <w:rPr>
          <w:rStyle w:val="Heading1Char"/>
          <w:b w:val="0"/>
          <w:bCs w:val="0"/>
          <w:color w:val="16365C"/>
          <w:sz w:val="56"/>
          <w:szCs w:val="52"/>
          <w:shd w:val="clear" w:color="auto" w:fill="auto"/>
        </w:rPr>
        <w:t xml:space="preserve"> Paper</w:t>
      </w:r>
      <w:bookmarkEnd w:id="3"/>
    </w:p>
    <w:p w14:paraId="38CAC299" w14:textId="77777777" w:rsidR="00514694" w:rsidRDefault="00514694" w:rsidP="000D5F96">
      <w:pPr>
        <w:spacing w:before="240" w:after="240" w:line="276" w:lineRule="auto"/>
        <w:jc w:val="both"/>
        <w:rPr>
          <w:rFonts w:cs="Arial"/>
          <w:sz w:val="24"/>
          <w:szCs w:val="24"/>
        </w:rPr>
      </w:pPr>
    </w:p>
    <w:p w14:paraId="1F867838" w14:textId="0854A6F1" w:rsidR="00F745C3" w:rsidRDefault="00F745C3" w:rsidP="00614E07">
      <w:pPr>
        <w:spacing w:before="240" w:after="240" w:line="276" w:lineRule="auto"/>
        <w:jc w:val="center"/>
        <w:rPr>
          <w:rFonts w:cs="Arial"/>
          <w:sz w:val="24"/>
          <w:szCs w:val="24"/>
        </w:rPr>
      </w:pPr>
      <w:r>
        <w:rPr>
          <w:rFonts w:cs="Arial"/>
          <w:sz w:val="24"/>
          <w:szCs w:val="24"/>
        </w:rPr>
        <w:t>April 2018</w:t>
      </w:r>
      <w:r w:rsidR="00614E07">
        <w:rPr>
          <w:rFonts w:cs="Arial"/>
          <w:sz w:val="24"/>
          <w:szCs w:val="24"/>
        </w:rPr>
        <w:t xml:space="preserve"> V.1 for the Board</w:t>
      </w:r>
    </w:p>
    <w:p w14:paraId="2150DFA6" w14:textId="141E1BF3" w:rsidR="00421B64" w:rsidRPr="006B3776" w:rsidRDefault="00F745C3" w:rsidP="00A04177">
      <w:pPr>
        <w:spacing w:before="240" w:after="240" w:line="276" w:lineRule="auto"/>
        <w:jc w:val="center"/>
        <w:rPr>
          <w:rFonts w:cs="Arial"/>
          <w:b/>
          <w:color w:val="FF0000"/>
          <w:sz w:val="32"/>
          <w:szCs w:val="24"/>
        </w:rPr>
      </w:pPr>
      <w:r w:rsidRPr="006B3776">
        <w:rPr>
          <w:rFonts w:cs="Arial"/>
          <w:b/>
          <w:color w:val="FF0000"/>
          <w:sz w:val="32"/>
          <w:szCs w:val="24"/>
        </w:rPr>
        <w:t>Confidential version for EPF Membership consultation only</w:t>
      </w:r>
      <w:r w:rsidR="006B3776">
        <w:rPr>
          <w:rFonts w:cs="Arial"/>
          <w:b/>
          <w:color w:val="FF0000"/>
          <w:sz w:val="32"/>
          <w:szCs w:val="24"/>
        </w:rPr>
        <w:t>.</w:t>
      </w:r>
      <w:r w:rsidRPr="006B3776">
        <w:rPr>
          <w:rFonts w:cs="Arial"/>
          <w:b/>
          <w:color w:val="FF0000"/>
          <w:sz w:val="32"/>
          <w:szCs w:val="24"/>
        </w:rPr>
        <w:t xml:space="preserve"> </w:t>
      </w:r>
      <w:r w:rsidR="006B3776" w:rsidRPr="006B3776">
        <w:rPr>
          <w:rFonts w:cs="Arial"/>
          <w:b/>
          <w:color w:val="FF0000"/>
          <w:sz w:val="32"/>
          <w:szCs w:val="24"/>
        </w:rPr>
        <w:t>P</w:t>
      </w:r>
      <w:r w:rsidRPr="006B3776">
        <w:rPr>
          <w:rFonts w:cs="Arial"/>
          <w:b/>
          <w:color w:val="FF0000"/>
          <w:sz w:val="32"/>
          <w:szCs w:val="24"/>
        </w:rPr>
        <w:t>lease</w:t>
      </w:r>
      <w:r w:rsidR="006B3776">
        <w:rPr>
          <w:rFonts w:cs="Arial"/>
          <w:b/>
          <w:color w:val="FF0000"/>
          <w:sz w:val="32"/>
          <w:szCs w:val="24"/>
        </w:rPr>
        <w:t xml:space="preserve"> </w:t>
      </w:r>
      <w:r w:rsidRPr="006B3776">
        <w:rPr>
          <w:rFonts w:cs="Arial"/>
          <w:b/>
          <w:color w:val="FF0000"/>
          <w:sz w:val="32"/>
          <w:szCs w:val="24"/>
        </w:rPr>
        <w:t>do not share</w:t>
      </w:r>
      <w:r w:rsidR="006B3776">
        <w:rPr>
          <w:rFonts w:cs="Arial"/>
          <w:b/>
          <w:color w:val="FF0000"/>
          <w:sz w:val="32"/>
          <w:szCs w:val="24"/>
        </w:rPr>
        <w:t>!</w:t>
      </w:r>
    </w:p>
    <w:p w14:paraId="411BC48D" w14:textId="77777777" w:rsidR="00514694" w:rsidRDefault="00514694">
      <w:pPr>
        <w:spacing w:after="120" w:line="276" w:lineRule="auto"/>
        <w:jc w:val="both"/>
        <w:rPr>
          <w:rFonts w:cs="Arial"/>
          <w:sz w:val="24"/>
          <w:szCs w:val="24"/>
        </w:rPr>
      </w:pPr>
    </w:p>
    <w:p w14:paraId="3F760F55" w14:textId="77777777" w:rsidR="00514694" w:rsidRDefault="00514694">
      <w:pPr>
        <w:spacing w:after="120" w:line="276" w:lineRule="auto"/>
        <w:jc w:val="both"/>
        <w:rPr>
          <w:rFonts w:cs="Arial"/>
          <w:sz w:val="24"/>
          <w:szCs w:val="24"/>
        </w:rPr>
      </w:pPr>
    </w:p>
    <w:p w14:paraId="3C91891C" w14:textId="4F7110FD" w:rsidR="00514694" w:rsidRDefault="00514694">
      <w:pPr>
        <w:spacing w:after="120" w:line="276" w:lineRule="auto"/>
        <w:jc w:val="both"/>
        <w:rPr>
          <w:rFonts w:cs="Arial"/>
          <w:sz w:val="24"/>
          <w:szCs w:val="24"/>
        </w:rPr>
      </w:pPr>
    </w:p>
    <w:p w14:paraId="3FA59134" w14:textId="1FFE6DA9" w:rsidR="00514694" w:rsidRDefault="00514694">
      <w:pPr>
        <w:spacing w:after="120" w:line="276" w:lineRule="auto"/>
        <w:jc w:val="both"/>
        <w:rPr>
          <w:rFonts w:cs="Arial"/>
          <w:sz w:val="24"/>
          <w:szCs w:val="24"/>
        </w:rPr>
      </w:pPr>
    </w:p>
    <w:p w14:paraId="7EC1A88F" w14:textId="4AB4C9FA" w:rsidR="00514694" w:rsidRDefault="00514694">
      <w:pPr>
        <w:spacing w:after="120" w:line="276" w:lineRule="auto"/>
        <w:jc w:val="both"/>
        <w:rPr>
          <w:rFonts w:cs="Arial"/>
          <w:sz w:val="24"/>
          <w:szCs w:val="24"/>
        </w:rPr>
      </w:pPr>
    </w:p>
    <w:p w14:paraId="14B5646C" w14:textId="632AF978" w:rsidR="00514694" w:rsidRDefault="00514694">
      <w:pPr>
        <w:spacing w:after="120" w:line="276" w:lineRule="auto"/>
        <w:jc w:val="both"/>
        <w:rPr>
          <w:rFonts w:cs="Arial"/>
          <w:sz w:val="24"/>
          <w:szCs w:val="24"/>
        </w:rPr>
      </w:pPr>
    </w:p>
    <w:p w14:paraId="02B15CA5" w14:textId="730FCF43" w:rsidR="00514694" w:rsidRDefault="00514694">
      <w:pPr>
        <w:spacing w:after="120" w:line="276" w:lineRule="auto"/>
        <w:jc w:val="both"/>
        <w:rPr>
          <w:rFonts w:cs="Arial"/>
          <w:sz w:val="24"/>
          <w:szCs w:val="24"/>
        </w:rPr>
      </w:pPr>
    </w:p>
    <w:p w14:paraId="408F21BE" w14:textId="41F93722" w:rsidR="00514694" w:rsidRDefault="00514694">
      <w:pPr>
        <w:spacing w:after="120" w:line="276" w:lineRule="auto"/>
        <w:jc w:val="both"/>
        <w:rPr>
          <w:rFonts w:cs="Arial"/>
          <w:sz w:val="24"/>
          <w:szCs w:val="24"/>
        </w:rPr>
      </w:pPr>
    </w:p>
    <w:p w14:paraId="10C4E0FB" w14:textId="6138805A" w:rsidR="00514694" w:rsidRDefault="00514694">
      <w:pPr>
        <w:spacing w:after="120" w:line="276" w:lineRule="auto"/>
        <w:jc w:val="both"/>
        <w:rPr>
          <w:rFonts w:cs="Arial"/>
          <w:sz w:val="24"/>
          <w:szCs w:val="24"/>
        </w:rPr>
      </w:pPr>
    </w:p>
    <w:p w14:paraId="4FA0EF7C" w14:textId="49EB5F82" w:rsidR="00514694" w:rsidRDefault="00514694">
      <w:pPr>
        <w:spacing w:after="120" w:line="276" w:lineRule="auto"/>
        <w:jc w:val="both"/>
        <w:rPr>
          <w:rFonts w:cs="Arial"/>
          <w:sz w:val="24"/>
          <w:szCs w:val="24"/>
        </w:rPr>
      </w:pPr>
    </w:p>
    <w:p w14:paraId="13BA6226" w14:textId="2BA0540B" w:rsidR="00514694" w:rsidRDefault="00514694">
      <w:pPr>
        <w:spacing w:after="120" w:line="276" w:lineRule="auto"/>
        <w:jc w:val="both"/>
        <w:rPr>
          <w:rFonts w:cs="Arial"/>
          <w:sz w:val="24"/>
          <w:szCs w:val="24"/>
        </w:rPr>
      </w:pPr>
    </w:p>
    <w:sdt>
      <w:sdtPr>
        <w:rPr>
          <w:rFonts w:ascii="Calibri" w:eastAsia="Calibri" w:hAnsi="Calibri" w:cs="Times New Roman"/>
          <w:color w:val="auto"/>
          <w:sz w:val="22"/>
          <w:szCs w:val="22"/>
          <w:lang w:val="en-GB"/>
        </w:rPr>
        <w:id w:val="1753164192"/>
        <w:docPartObj>
          <w:docPartGallery w:val="Table of Contents"/>
          <w:docPartUnique/>
        </w:docPartObj>
      </w:sdtPr>
      <w:sdtEndPr>
        <w:rPr>
          <w:b/>
          <w:bCs/>
          <w:noProof/>
        </w:rPr>
      </w:sdtEndPr>
      <w:sdtContent>
        <w:p w14:paraId="3F42A031" w14:textId="6234391A" w:rsidR="00514694" w:rsidRDefault="00514694">
          <w:pPr>
            <w:pStyle w:val="TOCHeading"/>
          </w:pPr>
          <w:r>
            <w:t>Contents</w:t>
          </w:r>
        </w:p>
        <w:p w14:paraId="087F788F" w14:textId="77777777" w:rsidR="00514694" w:rsidRPr="00514694" w:rsidRDefault="00514694" w:rsidP="00514694">
          <w:pPr>
            <w:rPr>
              <w:lang w:val="en-US"/>
            </w:rPr>
          </w:pPr>
        </w:p>
        <w:p w14:paraId="2963F46E" w14:textId="0351330E" w:rsidR="00CD31A8" w:rsidRDefault="00514694">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511039275" w:history="1"/>
        </w:p>
        <w:p w14:paraId="7AA4F946" w14:textId="64DE76AE" w:rsidR="00CD31A8" w:rsidRDefault="00FA54E1">
          <w:pPr>
            <w:pStyle w:val="TOC2"/>
            <w:tabs>
              <w:tab w:val="right" w:leader="dot" w:pos="9016"/>
            </w:tabs>
            <w:rPr>
              <w:rFonts w:asciiTheme="minorHAnsi" w:eastAsiaTheme="minorEastAsia" w:hAnsiTheme="minorHAnsi" w:cstheme="minorBidi"/>
              <w:noProof/>
              <w:lang w:eastAsia="en-GB"/>
            </w:rPr>
          </w:pPr>
          <w:hyperlink w:anchor="_Toc511039276" w:history="1">
            <w:r w:rsidR="00CD31A8" w:rsidRPr="00951B84">
              <w:rPr>
                <w:rStyle w:val="Hyperlink"/>
                <w:noProof/>
              </w:rPr>
              <w:t>Preface: Why this review?</w:t>
            </w:r>
            <w:r w:rsidR="00CD31A8">
              <w:rPr>
                <w:noProof/>
                <w:webHidden/>
              </w:rPr>
              <w:tab/>
            </w:r>
            <w:r w:rsidR="00CD31A8">
              <w:rPr>
                <w:noProof/>
                <w:webHidden/>
              </w:rPr>
              <w:fldChar w:fldCharType="begin"/>
            </w:r>
            <w:r w:rsidR="00CD31A8">
              <w:rPr>
                <w:noProof/>
                <w:webHidden/>
              </w:rPr>
              <w:instrText xml:space="preserve"> PAGEREF _Toc511039276 \h </w:instrText>
            </w:r>
            <w:r w:rsidR="00CD31A8">
              <w:rPr>
                <w:noProof/>
                <w:webHidden/>
              </w:rPr>
            </w:r>
            <w:r w:rsidR="00CD31A8">
              <w:rPr>
                <w:noProof/>
                <w:webHidden/>
              </w:rPr>
              <w:fldChar w:fldCharType="separate"/>
            </w:r>
            <w:r w:rsidR="00CD31A8">
              <w:rPr>
                <w:noProof/>
                <w:webHidden/>
              </w:rPr>
              <w:t>3</w:t>
            </w:r>
            <w:r w:rsidR="00CD31A8">
              <w:rPr>
                <w:noProof/>
                <w:webHidden/>
              </w:rPr>
              <w:fldChar w:fldCharType="end"/>
            </w:r>
          </w:hyperlink>
        </w:p>
        <w:p w14:paraId="25FBE00D" w14:textId="4E5CE31D" w:rsidR="00CD31A8" w:rsidRDefault="00FA54E1">
          <w:pPr>
            <w:pStyle w:val="TOC2"/>
            <w:tabs>
              <w:tab w:val="right" w:leader="dot" w:pos="9016"/>
            </w:tabs>
            <w:rPr>
              <w:rFonts w:asciiTheme="minorHAnsi" w:eastAsiaTheme="minorEastAsia" w:hAnsiTheme="minorHAnsi" w:cstheme="minorBidi"/>
              <w:noProof/>
              <w:lang w:eastAsia="en-GB"/>
            </w:rPr>
          </w:pPr>
          <w:hyperlink w:anchor="_Toc511039277" w:history="1">
            <w:r w:rsidR="00CD31A8" w:rsidRPr="00951B84">
              <w:rPr>
                <w:rStyle w:val="Hyperlink"/>
                <w:noProof/>
              </w:rPr>
              <w:t>Introduction</w:t>
            </w:r>
            <w:r w:rsidR="00CD31A8">
              <w:rPr>
                <w:noProof/>
                <w:webHidden/>
              </w:rPr>
              <w:tab/>
            </w:r>
            <w:r w:rsidR="00CD31A8">
              <w:rPr>
                <w:noProof/>
                <w:webHidden/>
              </w:rPr>
              <w:fldChar w:fldCharType="begin"/>
            </w:r>
            <w:r w:rsidR="00CD31A8">
              <w:rPr>
                <w:noProof/>
                <w:webHidden/>
              </w:rPr>
              <w:instrText xml:space="preserve"> PAGEREF _Toc511039277 \h </w:instrText>
            </w:r>
            <w:r w:rsidR="00CD31A8">
              <w:rPr>
                <w:noProof/>
                <w:webHidden/>
              </w:rPr>
            </w:r>
            <w:r w:rsidR="00CD31A8">
              <w:rPr>
                <w:noProof/>
                <w:webHidden/>
              </w:rPr>
              <w:fldChar w:fldCharType="separate"/>
            </w:r>
            <w:r w:rsidR="00CD31A8">
              <w:rPr>
                <w:noProof/>
                <w:webHidden/>
              </w:rPr>
              <w:t>4</w:t>
            </w:r>
            <w:r w:rsidR="00CD31A8">
              <w:rPr>
                <w:noProof/>
                <w:webHidden/>
              </w:rPr>
              <w:fldChar w:fldCharType="end"/>
            </w:r>
          </w:hyperlink>
        </w:p>
        <w:p w14:paraId="4ACF22AC" w14:textId="39B82DE1" w:rsidR="00CD31A8" w:rsidRDefault="00FA54E1">
          <w:pPr>
            <w:pStyle w:val="TOC2"/>
            <w:tabs>
              <w:tab w:val="right" w:leader="dot" w:pos="9016"/>
            </w:tabs>
            <w:rPr>
              <w:rFonts w:asciiTheme="minorHAnsi" w:eastAsiaTheme="minorEastAsia" w:hAnsiTheme="minorHAnsi" w:cstheme="minorBidi"/>
              <w:noProof/>
              <w:lang w:eastAsia="en-GB"/>
            </w:rPr>
          </w:pPr>
          <w:hyperlink w:anchor="_Toc511039278" w:history="1">
            <w:r w:rsidR="00CD31A8" w:rsidRPr="00951B84">
              <w:rPr>
                <w:rStyle w:val="Hyperlink"/>
                <w:noProof/>
              </w:rPr>
              <w:t>Updated chapter: What is driving the cost of medicines</w:t>
            </w:r>
            <w:r w:rsidR="00CD31A8">
              <w:rPr>
                <w:noProof/>
                <w:webHidden/>
              </w:rPr>
              <w:tab/>
            </w:r>
            <w:r w:rsidR="00CD31A8">
              <w:rPr>
                <w:noProof/>
                <w:webHidden/>
              </w:rPr>
              <w:fldChar w:fldCharType="begin"/>
            </w:r>
            <w:r w:rsidR="00CD31A8">
              <w:rPr>
                <w:noProof/>
                <w:webHidden/>
              </w:rPr>
              <w:instrText xml:space="preserve"> PAGEREF _Toc511039278 \h </w:instrText>
            </w:r>
            <w:r w:rsidR="00CD31A8">
              <w:rPr>
                <w:noProof/>
                <w:webHidden/>
              </w:rPr>
            </w:r>
            <w:r w:rsidR="00CD31A8">
              <w:rPr>
                <w:noProof/>
                <w:webHidden/>
              </w:rPr>
              <w:fldChar w:fldCharType="separate"/>
            </w:r>
            <w:r w:rsidR="00CD31A8">
              <w:rPr>
                <w:noProof/>
                <w:webHidden/>
              </w:rPr>
              <w:t>5</w:t>
            </w:r>
            <w:r w:rsidR="00CD31A8">
              <w:rPr>
                <w:noProof/>
                <w:webHidden/>
              </w:rPr>
              <w:fldChar w:fldCharType="end"/>
            </w:r>
          </w:hyperlink>
        </w:p>
        <w:p w14:paraId="0771F30F" w14:textId="0852BA83" w:rsidR="00CD31A8" w:rsidRDefault="00FA54E1">
          <w:pPr>
            <w:pStyle w:val="TOC2"/>
            <w:tabs>
              <w:tab w:val="right" w:leader="dot" w:pos="9016"/>
            </w:tabs>
            <w:rPr>
              <w:rFonts w:asciiTheme="minorHAnsi" w:eastAsiaTheme="minorEastAsia" w:hAnsiTheme="minorHAnsi" w:cstheme="minorBidi"/>
              <w:noProof/>
              <w:lang w:eastAsia="en-GB"/>
            </w:rPr>
          </w:pPr>
          <w:hyperlink w:anchor="_Toc511039279" w:history="1">
            <w:r w:rsidR="00CD31A8" w:rsidRPr="00951B84">
              <w:rPr>
                <w:rStyle w:val="Hyperlink"/>
                <w:noProof/>
              </w:rPr>
              <w:t>New chapter: Initiatives at EU and international level</w:t>
            </w:r>
            <w:r w:rsidR="00CD31A8">
              <w:rPr>
                <w:noProof/>
                <w:webHidden/>
              </w:rPr>
              <w:tab/>
            </w:r>
            <w:r w:rsidR="00CD31A8">
              <w:rPr>
                <w:noProof/>
                <w:webHidden/>
              </w:rPr>
              <w:fldChar w:fldCharType="begin"/>
            </w:r>
            <w:r w:rsidR="00CD31A8">
              <w:rPr>
                <w:noProof/>
                <w:webHidden/>
              </w:rPr>
              <w:instrText xml:space="preserve"> PAGEREF _Toc511039279 \h </w:instrText>
            </w:r>
            <w:r w:rsidR="00CD31A8">
              <w:rPr>
                <w:noProof/>
                <w:webHidden/>
              </w:rPr>
            </w:r>
            <w:r w:rsidR="00CD31A8">
              <w:rPr>
                <w:noProof/>
                <w:webHidden/>
              </w:rPr>
              <w:fldChar w:fldCharType="separate"/>
            </w:r>
            <w:r w:rsidR="00CD31A8">
              <w:rPr>
                <w:noProof/>
                <w:webHidden/>
              </w:rPr>
              <w:t>6</w:t>
            </w:r>
            <w:r w:rsidR="00CD31A8">
              <w:rPr>
                <w:noProof/>
                <w:webHidden/>
              </w:rPr>
              <w:fldChar w:fldCharType="end"/>
            </w:r>
          </w:hyperlink>
        </w:p>
        <w:p w14:paraId="3986405F" w14:textId="25CA2476"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0" w:history="1">
            <w:r w:rsidR="00CD31A8" w:rsidRPr="00951B84">
              <w:rPr>
                <w:rStyle w:val="Hyperlink"/>
                <w:noProof/>
              </w:rPr>
              <w:t>International perspectives: OECD, UN and WHO</w:t>
            </w:r>
            <w:r w:rsidR="00CD31A8">
              <w:rPr>
                <w:noProof/>
                <w:webHidden/>
              </w:rPr>
              <w:tab/>
            </w:r>
            <w:r w:rsidR="00CD31A8">
              <w:rPr>
                <w:noProof/>
                <w:webHidden/>
              </w:rPr>
              <w:fldChar w:fldCharType="begin"/>
            </w:r>
            <w:r w:rsidR="00CD31A8">
              <w:rPr>
                <w:noProof/>
                <w:webHidden/>
              </w:rPr>
              <w:instrText xml:space="preserve"> PAGEREF _Toc511039280 \h </w:instrText>
            </w:r>
            <w:r w:rsidR="00CD31A8">
              <w:rPr>
                <w:noProof/>
                <w:webHidden/>
              </w:rPr>
            </w:r>
            <w:r w:rsidR="00CD31A8">
              <w:rPr>
                <w:noProof/>
                <w:webHidden/>
              </w:rPr>
              <w:fldChar w:fldCharType="separate"/>
            </w:r>
            <w:r w:rsidR="00CD31A8">
              <w:rPr>
                <w:noProof/>
                <w:webHidden/>
              </w:rPr>
              <w:t>6</w:t>
            </w:r>
            <w:r w:rsidR="00CD31A8">
              <w:rPr>
                <w:noProof/>
                <w:webHidden/>
              </w:rPr>
              <w:fldChar w:fldCharType="end"/>
            </w:r>
          </w:hyperlink>
        </w:p>
        <w:p w14:paraId="6E603FA5" w14:textId="60A54E0B"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1" w:history="1">
            <w:r w:rsidR="00CD31A8" w:rsidRPr="00951B84">
              <w:rPr>
                <w:rStyle w:val="Hyperlink"/>
                <w:noProof/>
              </w:rPr>
              <w:t>The Council and Parliament: Calls for political action</w:t>
            </w:r>
            <w:r w:rsidR="00CD31A8">
              <w:rPr>
                <w:noProof/>
                <w:webHidden/>
              </w:rPr>
              <w:tab/>
            </w:r>
            <w:r w:rsidR="00CD31A8">
              <w:rPr>
                <w:noProof/>
                <w:webHidden/>
              </w:rPr>
              <w:fldChar w:fldCharType="begin"/>
            </w:r>
            <w:r w:rsidR="00CD31A8">
              <w:rPr>
                <w:noProof/>
                <w:webHidden/>
              </w:rPr>
              <w:instrText xml:space="preserve"> PAGEREF _Toc511039281 \h </w:instrText>
            </w:r>
            <w:r w:rsidR="00CD31A8">
              <w:rPr>
                <w:noProof/>
                <w:webHidden/>
              </w:rPr>
            </w:r>
            <w:r w:rsidR="00CD31A8">
              <w:rPr>
                <w:noProof/>
                <w:webHidden/>
              </w:rPr>
              <w:fldChar w:fldCharType="separate"/>
            </w:r>
            <w:r w:rsidR="00CD31A8">
              <w:rPr>
                <w:noProof/>
                <w:webHidden/>
              </w:rPr>
              <w:t>7</w:t>
            </w:r>
            <w:r w:rsidR="00CD31A8">
              <w:rPr>
                <w:noProof/>
                <w:webHidden/>
              </w:rPr>
              <w:fldChar w:fldCharType="end"/>
            </w:r>
          </w:hyperlink>
        </w:p>
        <w:p w14:paraId="7D76938D" w14:textId="0F61A36B"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2" w:history="1">
            <w:r w:rsidR="00CD31A8" w:rsidRPr="00951B84">
              <w:rPr>
                <w:rStyle w:val="Hyperlink"/>
                <w:noProof/>
              </w:rPr>
              <w:t>The European Commission: policy analysis</w:t>
            </w:r>
            <w:r w:rsidR="00CD31A8">
              <w:rPr>
                <w:noProof/>
                <w:webHidden/>
              </w:rPr>
              <w:tab/>
            </w:r>
            <w:r w:rsidR="00CD31A8">
              <w:rPr>
                <w:noProof/>
                <w:webHidden/>
              </w:rPr>
              <w:fldChar w:fldCharType="begin"/>
            </w:r>
            <w:r w:rsidR="00CD31A8">
              <w:rPr>
                <w:noProof/>
                <w:webHidden/>
              </w:rPr>
              <w:instrText xml:space="preserve"> PAGEREF _Toc511039282 \h </w:instrText>
            </w:r>
            <w:r w:rsidR="00CD31A8">
              <w:rPr>
                <w:noProof/>
                <w:webHidden/>
              </w:rPr>
            </w:r>
            <w:r w:rsidR="00CD31A8">
              <w:rPr>
                <w:noProof/>
                <w:webHidden/>
              </w:rPr>
              <w:fldChar w:fldCharType="separate"/>
            </w:r>
            <w:r w:rsidR="00CD31A8">
              <w:rPr>
                <w:noProof/>
                <w:webHidden/>
              </w:rPr>
              <w:t>8</w:t>
            </w:r>
            <w:r w:rsidR="00CD31A8">
              <w:rPr>
                <w:noProof/>
                <w:webHidden/>
              </w:rPr>
              <w:fldChar w:fldCharType="end"/>
            </w:r>
          </w:hyperlink>
        </w:p>
        <w:p w14:paraId="490776BE" w14:textId="4F122185" w:rsidR="00CD31A8" w:rsidRDefault="00FA54E1">
          <w:pPr>
            <w:pStyle w:val="TOC2"/>
            <w:tabs>
              <w:tab w:val="right" w:leader="dot" w:pos="9016"/>
            </w:tabs>
            <w:rPr>
              <w:rFonts w:asciiTheme="minorHAnsi" w:eastAsiaTheme="minorEastAsia" w:hAnsiTheme="minorHAnsi" w:cstheme="minorBidi"/>
              <w:noProof/>
              <w:lang w:eastAsia="en-GB"/>
            </w:rPr>
          </w:pPr>
          <w:hyperlink w:anchor="_Toc511039283" w:history="1">
            <w:r w:rsidR="00CD31A8" w:rsidRPr="00951B84">
              <w:rPr>
                <w:rStyle w:val="Hyperlink"/>
                <w:noProof/>
              </w:rPr>
              <w:t>Current pricing models do not support equitable access</w:t>
            </w:r>
            <w:r w:rsidR="00CD31A8">
              <w:rPr>
                <w:noProof/>
                <w:webHidden/>
              </w:rPr>
              <w:tab/>
            </w:r>
            <w:r w:rsidR="00CD31A8">
              <w:rPr>
                <w:noProof/>
                <w:webHidden/>
              </w:rPr>
              <w:fldChar w:fldCharType="begin"/>
            </w:r>
            <w:r w:rsidR="00CD31A8">
              <w:rPr>
                <w:noProof/>
                <w:webHidden/>
              </w:rPr>
              <w:instrText xml:space="preserve"> PAGEREF _Toc511039283 \h </w:instrText>
            </w:r>
            <w:r w:rsidR="00CD31A8">
              <w:rPr>
                <w:noProof/>
                <w:webHidden/>
              </w:rPr>
            </w:r>
            <w:r w:rsidR="00CD31A8">
              <w:rPr>
                <w:noProof/>
                <w:webHidden/>
              </w:rPr>
              <w:fldChar w:fldCharType="separate"/>
            </w:r>
            <w:r w:rsidR="00CD31A8">
              <w:rPr>
                <w:noProof/>
                <w:webHidden/>
              </w:rPr>
              <w:t>8</w:t>
            </w:r>
            <w:r w:rsidR="00CD31A8">
              <w:rPr>
                <w:noProof/>
                <w:webHidden/>
              </w:rPr>
              <w:fldChar w:fldCharType="end"/>
            </w:r>
          </w:hyperlink>
        </w:p>
        <w:p w14:paraId="3E632DDE" w14:textId="692251ED"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4" w:history="1">
            <w:r w:rsidR="00CD31A8" w:rsidRPr="00951B84">
              <w:rPr>
                <w:rStyle w:val="Hyperlink"/>
                <w:noProof/>
              </w:rPr>
              <w:t>The system must become more transparent</w:t>
            </w:r>
            <w:r w:rsidR="00CD31A8">
              <w:rPr>
                <w:noProof/>
                <w:webHidden/>
              </w:rPr>
              <w:tab/>
            </w:r>
            <w:r w:rsidR="00CD31A8">
              <w:rPr>
                <w:noProof/>
                <w:webHidden/>
              </w:rPr>
              <w:fldChar w:fldCharType="begin"/>
            </w:r>
            <w:r w:rsidR="00CD31A8">
              <w:rPr>
                <w:noProof/>
                <w:webHidden/>
              </w:rPr>
              <w:instrText xml:space="preserve"> PAGEREF _Toc511039284 \h </w:instrText>
            </w:r>
            <w:r w:rsidR="00CD31A8">
              <w:rPr>
                <w:noProof/>
                <w:webHidden/>
              </w:rPr>
            </w:r>
            <w:r w:rsidR="00CD31A8">
              <w:rPr>
                <w:noProof/>
                <w:webHidden/>
              </w:rPr>
              <w:fldChar w:fldCharType="separate"/>
            </w:r>
            <w:r w:rsidR="00CD31A8">
              <w:rPr>
                <w:noProof/>
                <w:webHidden/>
              </w:rPr>
              <w:t>10</w:t>
            </w:r>
            <w:r w:rsidR="00CD31A8">
              <w:rPr>
                <w:noProof/>
                <w:webHidden/>
              </w:rPr>
              <w:fldChar w:fldCharType="end"/>
            </w:r>
          </w:hyperlink>
        </w:p>
        <w:p w14:paraId="7DE36520" w14:textId="3546FF91" w:rsidR="00CD31A8" w:rsidRDefault="00FA54E1">
          <w:pPr>
            <w:pStyle w:val="TOC2"/>
            <w:tabs>
              <w:tab w:val="right" w:leader="dot" w:pos="9016"/>
            </w:tabs>
            <w:rPr>
              <w:rFonts w:asciiTheme="minorHAnsi" w:eastAsiaTheme="minorEastAsia" w:hAnsiTheme="minorHAnsi" w:cstheme="minorBidi"/>
              <w:noProof/>
              <w:lang w:eastAsia="en-GB"/>
            </w:rPr>
          </w:pPr>
          <w:hyperlink w:anchor="_Toc511039285" w:history="1">
            <w:r w:rsidR="00CD31A8" w:rsidRPr="00951B84">
              <w:rPr>
                <w:rStyle w:val="Hyperlink"/>
                <w:noProof/>
              </w:rPr>
              <w:t>Updated section: Patients want medicines that bring added value</w:t>
            </w:r>
            <w:r w:rsidR="00CD31A8">
              <w:rPr>
                <w:noProof/>
                <w:webHidden/>
              </w:rPr>
              <w:tab/>
            </w:r>
            <w:r w:rsidR="00CD31A8">
              <w:rPr>
                <w:noProof/>
                <w:webHidden/>
              </w:rPr>
              <w:fldChar w:fldCharType="begin"/>
            </w:r>
            <w:r w:rsidR="00CD31A8">
              <w:rPr>
                <w:noProof/>
                <w:webHidden/>
              </w:rPr>
              <w:instrText xml:space="preserve"> PAGEREF _Toc511039285 \h </w:instrText>
            </w:r>
            <w:r w:rsidR="00CD31A8">
              <w:rPr>
                <w:noProof/>
                <w:webHidden/>
              </w:rPr>
            </w:r>
            <w:r w:rsidR="00CD31A8">
              <w:rPr>
                <w:noProof/>
                <w:webHidden/>
              </w:rPr>
              <w:fldChar w:fldCharType="separate"/>
            </w:r>
            <w:r w:rsidR="00CD31A8">
              <w:rPr>
                <w:noProof/>
                <w:webHidden/>
              </w:rPr>
              <w:t>11</w:t>
            </w:r>
            <w:r w:rsidR="00CD31A8">
              <w:rPr>
                <w:noProof/>
                <w:webHidden/>
              </w:rPr>
              <w:fldChar w:fldCharType="end"/>
            </w:r>
          </w:hyperlink>
        </w:p>
        <w:p w14:paraId="17AB87C5" w14:textId="1ADDD227"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6" w:history="1">
            <w:r w:rsidR="00CD31A8" w:rsidRPr="00951B84">
              <w:rPr>
                <w:rStyle w:val="Hyperlink"/>
                <w:noProof/>
              </w:rPr>
              <w:t>Assessing the real value of innovation: patients’ perspective is key</w:t>
            </w:r>
            <w:r w:rsidR="00CD31A8">
              <w:rPr>
                <w:noProof/>
                <w:webHidden/>
              </w:rPr>
              <w:tab/>
            </w:r>
            <w:r w:rsidR="00CD31A8">
              <w:rPr>
                <w:noProof/>
                <w:webHidden/>
              </w:rPr>
              <w:fldChar w:fldCharType="begin"/>
            </w:r>
            <w:r w:rsidR="00CD31A8">
              <w:rPr>
                <w:noProof/>
                <w:webHidden/>
              </w:rPr>
              <w:instrText xml:space="preserve"> PAGEREF _Toc511039286 \h </w:instrText>
            </w:r>
            <w:r w:rsidR="00CD31A8">
              <w:rPr>
                <w:noProof/>
                <w:webHidden/>
              </w:rPr>
            </w:r>
            <w:r w:rsidR="00CD31A8">
              <w:rPr>
                <w:noProof/>
                <w:webHidden/>
              </w:rPr>
              <w:fldChar w:fldCharType="separate"/>
            </w:r>
            <w:r w:rsidR="00CD31A8">
              <w:rPr>
                <w:noProof/>
                <w:webHidden/>
              </w:rPr>
              <w:t>12</w:t>
            </w:r>
            <w:r w:rsidR="00CD31A8">
              <w:rPr>
                <w:noProof/>
                <w:webHidden/>
              </w:rPr>
              <w:fldChar w:fldCharType="end"/>
            </w:r>
          </w:hyperlink>
        </w:p>
        <w:p w14:paraId="2A844FE2" w14:textId="6FBBE4D1" w:rsidR="00CD31A8" w:rsidRDefault="00FA54E1">
          <w:pPr>
            <w:pStyle w:val="TOC2"/>
            <w:tabs>
              <w:tab w:val="right" w:leader="dot" w:pos="9016"/>
            </w:tabs>
            <w:rPr>
              <w:rFonts w:asciiTheme="minorHAnsi" w:eastAsiaTheme="minorEastAsia" w:hAnsiTheme="minorHAnsi" w:cstheme="minorBidi"/>
              <w:noProof/>
              <w:lang w:eastAsia="en-GB"/>
            </w:rPr>
          </w:pPr>
          <w:hyperlink w:anchor="_Toc511039287" w:history="1">
            <w:r w:rsidR="00CD31A8" w:rsidRPr="00951B84">
              <w:rPr>
                <w:rStyle w:val="Hyperlink"/>
                <w:noProof/>
              </w:rPr>
              <w:t>Adapting the system to new scientific and technological realities</w:t>
            </w:r>
            <w:r w:rsidR="00CD31A8">
              <w:rPr>
                <w:noProof/>
                <w:webHidden/>
              </w:rPr>
              <w:tab/>
            </w:r>
            <w:r w:rsidR="00CD31A8">
              <w:rPr>
                <w:noProof/>
                <w:webHidden/>
              </w:rPr>
              <w:fldChar w:fldCharType="begin"/>
            </w:r>
            <w:r w:rsidR="00CD31A8">
              <w:rPr>
                <w:noProof/>
                <w:webHidden/>
              </w:rPr>
              <w:instrText xml:space="preserve"> PAGEREF _Toc511039287 \h </w:instrText>
            </w:r>
            <w:r w:rsidR="00CD31A8">
              <w:rPr>
                <w:noProof/>
                <w:webHidden/>
              </w:rPr>
            </w:r>
            <w:r w:rsidR="00CD31A8">
              <w:rPr>
                <w:noProof/>
                <w:webHidden/>
              </w:rPr>
              <w:fldChar w:fldCharType="separate"/>
            </w:r>
            <w:r w:rsidR="00CD31A8">
              <w:rPr>
                <w:noProof/>
                <w:webHidden/>
              </w:rPr>
              <w:t>12</w:t>
            </w:r>
            <w:r w:rsidR="00CD31A8">
              <w:rPr>
                <w:noProof/>
                <w:webHidden/>
              </w:rPr>
              <w:fldChar w:fldCharType="end"/>
            </w:r>
          </w:hyperlink>
        </w:p>
        <w:p w14:paraId="30F9573C" w14:textId="71A76F0D"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8" w:history="1">
            <w:r w:rsidR="00CD31A8" w:rsidRPr="00951B84">
              <w:rPr>
                <w:rStyle w:val="Hyperlink"/>
                <w:noProof/>
              </w:rPr>
              <w:t>A “life-cycle” approach to evidence collection and decision-making</w:t>
            </w:r>
            <w:r w:rsidR="00CD31A8">
              <w:rPr>
                <w:noProof/>
                <w:webHidden/>
              </w:rPr>
              <w:tab/>
            </w:r>
            <w:r w:rsidR="00CD31A8">
              <w:rPr>
                <w:noProof/>
                <w:webHidden/>
              </w:rPr>
              <w:fldChar w:fldCharType="begin"/>
            </w:r>
            <w:r w:rsidR="00CD31A8">
              <w:rPr>
                <w:noProof/>
                <w:webHidden/>
              </w:rPr>
              <w:instrText xml:space="preserve"> PAGEREF _Toc511039288 \h </w:instrText>
            </w:r>
            <w:r w:rsidR="00CD31A8">
              <w:rPr>
                <w:noProof/>
                <w:webHidden/>
              </w:rPr>
            </w:r>
            <w:r w:rsidR="00CD31A8">
              <w:rPr>
                <w:noProof/>
                <w:webHidden/>
              </w:rPr>
              <w:fldChar w:fldCharType="separate"/>
            </w:r>
            <w:r w:rsidR="00CD31A8">
              <w:rPr>
                <w:noProof/>
                <w:webHidden/>
              </w:rPr>
              <w:t>13</w:t>
            </w:r>
            <w:r w:rsidR="00CD31A8">
              <w:rPr>
                <w:noProof/>
                <w:webHidden/>
              </w:rPr>
              <w:fldChar w:fldCharType="end"/>
            </w:r>
          </w:hyperlink>
        </w:p>
        <w:p w14:paraId="6894733C" w14:textId="59E0D1D6"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89" w:history="1">
            <w:r w:rsidR="00CD31A8" w:rsidRPr="00951B84">
              <w:rPr>
                <w:rStyle w:val="Hyperlink"/>
                <w:noProof/>
              </w:rPr>
              <w:t>Joint price negotiations – a way forward ?</w:t>
            </w:r>
            <w:r w:rsidR="00CD31A8">
              <w:rPr>
                <w:noProof/>
                <w:webHidden/>
              </w:rPr>
              <w:tab/>
            </w:r>
            <w:r w:rsidR="00CD31A8">
              <w:rPr>
                <w:noProof/>
                <w:webHidden/>
              </w:rPr>
              <w:fldChar w:fldCharType="begin"/>
            </w:r>
            <w:r w:rsidR="00CD31A8">
              <w:rPr>
                <w:noProof/>
                <w:webHidden/>
              </w:rPr>
              <w:instrText xml:space="preserve"> PAGEREF _Toc511039289 \h </w:instrText>
            </w:r>
            <w:r w:rsidR="00CD31A8">
              <w:rPr>
                <w:noProof/>
                <w:webHidden/>
              </w:rPr>
            </w:r>
            <w:r w:rsidR="00CD31A8">
              <w:rPr>
                <w:noProof/>
                <w:webHidden/>
              </w:rPr>
              <w:fldChar w:fldCharType="separate"/>
            </w:r>
            <w:r w:rsidR="00CD31A8">
              <w:rPr>
                <w:noProof/>
                <w:webHidden/>
              </w:rPr>
              <w:t>14</w:t>
            </w:r>
            <w:r w:rsidR="00CD31A8">
              <w:rPr>
                <w:noProof/>
                <w:webHidden/>
              </w:rPr>
              <w:fldChar w:fldCharType="end"/>
            </w:r>
          </w:hyperlink>
        </w:p>
        <w:p w14:paraId="2215A7DB" w14:textId="11AF353B" w:rsidR="00CD31A8" w:rsidRDefault="00FA54E1" w:rsidP="0038165E">
          <w:pPr>
            <w:pStyle w:val="TOC2"/>
            <w:tabs>
              <w:tab w:val="right" w:leader="dot" w:pos="9016"/>
            </w:tabs>
            <w:ind w:left="709"/>
            <w:rPr>
              <w:rFonts w:asciiTheme="minorHAnsi" w:eastAsiaTheme="minorEastAsia" w:hAnsiTheme="minorHAnsi" w:cstheme="minorBidi"/>
              <w:noProof/>
              <w:lang w:eastAsia="en-GB"/>
            </w:rPr>
          </w:pPr>
          <w:hyperlink w:anchor="_Toc511039290" w:history="1">
            <w:r w:rsidR="00CD31A8" w:rsidRPr="00951B84">
              <w:rPr>
                <w:rStyle w:val="Hyperlink"/>
                <w:noProof/>
              </w:rPr>
              <w:t>The bigger picture</w:t>
            </w:r>
            <w:r w:rsidR="00CD31A8">
              <w:rPr>
                <w:noProof/>
                <w:webHidden/>
              </w:rPr>
              <w:tab/>
            </w:r>
            <w:r w:rsidR="00CD31A8">
              <w:rPr>
                <w:noProof/>
                <w:webHidden/>
              </w:rPr>
              <w:fldChar w:fldCharType="begin"/>
            </w:r>
            <w:r w:rsidR="00CD31A8">
              <w:rPr>
                <w:noProof/>
                <w:webHidden/>
              </w:rPr>
              <w:instrText xml:space="preserve"> PAGEREF _Toc511039290 \h </w:instrText>
            </w:r>
            <w:r w:rsidR="00CD31A8">
              <w:rPr>
                <w:noProof/>
                <w:webHidden/>
              </w:rPr>
            </w:r>
            <w:r w:rsidR="00CD31A8">
              <w:rPr>
                <w:noProof/>
                <w:webHidden/>
              </w:rPr>
              <w:fldChar w:fldCharType="separate"/>
            </w:r>
            <w:r w:rsidR="00CD31A8">
              <w:rPr>
                <w:noProof/>
                <w:webHidden/>
              </w:rPr>
              <w:t>15</w:t>
            </w:r>
            <w:r w:rsidR="00CD31A8">
              <w:rPr>
                <w:noProof/>
                <w:webHidden/>
              </w:rPr>
              <w:fldChar w:fldCharType="end"/>
            </w:r>
          </w:hyperlink>
        </w:p>
        <w:p w14:paraId="33D534FB" w14:textId="44E6B4C6" w:rsidR="00CD31A8" w:rsidRDefault="00FA54E1">
          <w:pPr>
            <w:pStyle w:val="TOC2"/>
            <w:tabs>
              <w:tab w:val="right" w:leader="dot" w:pos="9016"/>
            </w:tabs>
            <w:rPr>
              <w:rFonts w:asciiTheme="minorHAnsi" w:eastAsiaTheme="minorEastAsia" w:hAnsiTheme="minorHAnsi" w:cstheme="minorBidi"/>
              <w:noProof/>
              <w:lang w:eastAsia="en-GB"/>
            </w:rPr>
          </w:pPr>
          <w:hyperlink w:anchor="_Toc511039291" w:history="1">
            <w:r w:rsidR="00CD31A8" w:rsidRPr="00951B84">
              <w:rPr>
                <w:rStyle w:val="Hyperlink"/>
                <w:noProof/>
              </w:rPr>
              <w:t>Call on governments and industry to ensure access</w:t>
            </w:r>
            <w:r w:rsidR="00CD31A8">
              <w:rPr>
                <w:noProof/>
                <w:webHidden/>
              </w:rPr>
              <w:tab/>
            </w:r>
            <w:r w:rsidR="00CD31A8">
              <w:rPr>
                <w:noProof/>
                <w:webHidden/>
              </w:rPr>
              <w:fldChar w:fldCharType="begin"/>
            </w:r>
            <w:r w:rsidR="00CD31A8">
              <w:rPr>
                <w:noProof/>
                <w:webHidden/>
              </w:rPr>
              <w:instrText xml:space="preserve"> PAGEREF _Toc511039291 \h </w:instrText>
            </w:r>
            <w:r w:rsidR="00CD31A8">
              <w:rPr>
                <w:noProof/>
                <w:webHidden/>
              </w:rPr>
            </w:r>
            <w:r w:rsidR="00CD31A8">
              <w:rPr>
                <w:noProof/>
                <w:webHidden/>
              </w:rPr>
              <w:fldChar w:fldCharType="separate"/>
            </w:r>
            <w:r w:rsidR="00CD31A8">
              <w:rPr>
                <w:noProof/>
                <w:webHidden/>
              </w:rPr>
              <w:t>15</w:t>
            </w:r>
            <w:r w:rsidR="00CD31A8">
              <w:rPr>
                <w:noProof/>
                <w:webHidden/>
              </w:rPr>
              <w:fldChar w:fldCharType="end"/>
            </w:r>
          </w:hyperlink>
        </w:p>
        <w:p w14:paraId="155E5269" w14:textId="2196A36F" w:rsidR="00CD31A8" w:rsidRDefault="00FA54E1">
          <w:pPr>
            <w:pStyle w:val="TOC1"/>
            <w:tabs>
              <w:tab w:val="right" w:leader="dot" w:pos="9016"/>
            </w:tabs>
            <w:rPr>
              <w:rFonts w:asciiTheme="minorHAnsi" w:eastAsiaTheme="minorEastAsia" w:hAnsiTheme="minorHAnsi" w:cstheme="minorBidi"/>
              <w:noProof/>
              <w:lang w:eastAsia="en-GB"/>
            </w:rPr>
          </w:pPr>
          <w:hyperlink w:anchor="_Toc511039292" w:history="1">
            <w:r w:rsidR="00CD31A8" w:rsidRPr="00951B84">
              <w:rPr>
                <w:rStyle w:val="Hyperlink"/>
                <w:noProof/>
              </w:rPr>
              <w:t>Core Principles and Recommendations</w:t>
            </w:r>
            <w:r w:rsidR="00CD31A8">
              <w:rPr>
                <w:noProof/>
                <w:webHidden/>
              </w:rPr>
              <w:tab/>
            </w:r>
            <w:r w:rsidR="00CD31A8">
              <w:rPr>
                <w:noProof/>
                <w:webHidden/>
              </w:rPr>
              <w:fldChar w:fldCharType="begin"/>
            </w:r>
            <w:r w:rsidR="00CD31A8">
              <w:rPr>
                <w:noProof/>
                <w:webHidden/>
              </w:rPr>
              <w:instrText xml:space="preserve"> PAGEREF _Toc511039292 \h </w:instrText>
            </w:r>
            <w:r w:rsidR="00CD31A8">
              <w:rPr>
                <w:noProof/>
                <w:webHidden/>
              </w:rPr>
            </w:r>
            <w:r w:rsidR="00CD31A8">
              <w:rPr>
                <w:noProof/>
                <w:webHidden/>
              </w:rPr>
              <w:fldChar w:fldCharType="separate"/>
            </w:r>
            <w:r w:rsidR="00CD31A8">
              <w:rPr>
                <w:noProof/>
                <w:webHidden/>
              </w:rPr>
              <w:t>17</w:t>
            </w:r>
            <w:r w:rsidR="00CD31A8">
              <w:rPr>
                <w:noProof/>
                <w:webHidden/>
              </w:rPr>
              <w:fldChar w:fldCharType="end"/>
            </w:r>
          </w:hyperlink>
        </w:p>
        <w:p w14:paraId="5E8C35B9" w14:textId="22C13C6D" w:rsidR="00CD31A8" w:rsidRDefault="00FA54E1" w:rsidP="004417BF">
          <w:pPr>
            <w:pStyle w:val="TOC2"/>
            <w:tabs>
              <w:tab w:val="right" w:leader="dot" w:pos="9016"/>
            </w:tabs>
            <w:ind w:left="0"/>
            <w:rPr>
              <w:rFonts w:asciiTheme="minorHAnsi" w:eastAsiaTheme="minorEastAsia" w:hAnsiTheme="minorHAnsi" w:cstheme="minorBidi"/>
              <w:noProof/>
              <w:lang w:eastAsia="en-GB"/>
            </w:rPr>
          </w:pPr>
          <w:hyperlink w:anchor="_Toc511039293" w:history="1">
            <w:r w:rsidR="00CD31A8" w:rsidRPr="00951B84">
              <w:rPr>
                <w:rStyle w:val="Hyperlink"/>
                <w:noProof/>
              </w:rPr>
              <w:t>Notes and References</w:t>
            </w:r>
            <w:r w:rsidR="00CD31A8">
              <w:rPr>
                <w:noProof/>
                <w:webHidden/>
              </w:rPr>
              <w:tab/>
            </w:r>
            <w:r w:rsidR="00CD31A8">
              <w:rPr>
                <w:noProof/>
                <w:webHidden/>
              </w:rPr>
              <w:fldChar w:fldCharType="begin"/>
            </w:r>
            <w:r w:rsidR="00CD31A8">
              <w:rPr>
                <w:noProof/>
                <w:webHidden/>
              </w:rPr>
              <w:instrText xml:space="preserve"> PAGEREF _Toc511039293 \h </w:instrText>
            </w:r>
            <w:r w:rsidR="00CD31A8">
              <w:rPr>
                <w:noProof/>
                <w:webHidden/>
              </w:rPr>
            </w:r>
            <w:r w:rsidR="00CD31A8">
              <w:rPr>
                <w:noProof/>
                <w:webHidden/>
              </w:rPr>
              <w:fldChar w:fldCharType="separate"/>
            </w:r>
            <w:r w:rsidR="00CD31A8">
              <w:rPr>
                <w:noProof/>
                <w:webHidden/>
              </w:rPr>
              <w:t>19</w:t>
            </w:r>
            <w:r w:rsidR="00CD31A8">
              <w:rPr>
                <w:noProof/>
                <w:webHidden/>
              </w:rPr>
              <w:fldChar w:fldCharType="end"/>
            </w:r>
          </w:hyperlink>
        </w:p>
        <w:p w14:paraId="7A084F04" w14:textId="41BDCCBB" w:rsidR="00514694" w:rsidRDefault="00514694">
          <w:r>
            <w:rPr>
              <w:b/>
              <w:bCs/>
              <w:noProof/>
            </w:rPr>
            <w:fldChar w:fldCharType="end"/>
          </w:r>
        </w:p>
      </w:sdtContent>
    </w:sdt>
    <w:p w14:paraId="5664AE1A" w14:textId="77777777" w:rsidR="00514694" w:rsidRDefault="00514694">
      <w:pPr>
        <w:spacing w:after="120" w:line="276" w:lineRule="auto"/>
        <w:jc w:val="both"/>
        <w:rPr>
          <w:rFonts w:cs="Arial"/>
          <w:sz w:val="24"/>
          <w:szCs w:val="24"/>
        </w:rPr>
      </w:pPr>
    </w:p>
    <w:p w14:paraId="5E1C6619" w14:textId="77777777" w:rsidR="00514694" w:rsidRDefault="00514694">
      <w:pPr>
        <w:spacing w:after="120" w:line="276" w:lineRule="auto"/>
        <w:jc w:val="both"/>
        <w:rPr>
          <w:rFonts w:cs="Arial"/>
          <w:sz w:val="24"/>
          <w:szCs w:val="24"/>
        </w:rPr>
      </w:pPr>
    </w:p>
    <w:p w14:paraId="231CBA8C" w14:textId="77777777" w:rsidR="00514694" w:rsidRDefault="00514694">
      <w:pPr>
        <w:spacing w:after="120" w:line="276" w:lineRule="auto"/>
        <w:jc w:val="both"/>
        <w:rPr>
          <w:rFonts w:cs="Arial"/>
          <w:sz w:val="24"/>
          <w:szCs w:val="24"/>
        </w:rPr>
      </w:pPr>
    </w:p>
    <w:p w14:paraId="7BAAA1FA" w14:textId="77777777" w:rsidR="00514694" w:rsidRDefault="00514694">
      <w:pPr>
        <w:spacing w:after="120" w:line="276" w:lineRule="auto"/>
        <w:jc w:val="both"/>
        <w:rPr>
          <w:rFonts w:cs="Arial"/>
          <w:sz w:val="24"/>
          <w:szCs w:val="24"/>
        </w:rPr>
      </w:pPr>
    </w:p>
    <w:p w14:paraId="510A7BB0" w14:textId="77777777" w:rsidR="00514694" w:rsidRDefault="00514694">
      <w:pPr>
        <w:spacing w:after="120" w:line="276" w:lineRule="auto"/>
        <w:jc w:val="both"/>
        <w:rPr>
          <w:rFonts w:cs="Arial"/>
          <w:sz w:val="24"/>
          <w:szCs w:val="24"/>
        </w:rPr>
      </w:pPr>
    </w:p>
    <w:p w14:paraId="52B89DA0" w14:textId="77777777" w:rsidR="00514694" w:rsidRDefault="00514694">
      <w:pPr>
        <w:spacing w:after="120" w:line="276" w:lineRule="auto"/>
        <w:jc w:val="both"/>
        <w:rPr>
          <w:rFonts w:cs="Arial"/>
          <w:sz w:val="24"/>
          <w:szCs w:val="24"/>
        </w:rPr>
      </w:pPr>
    </w:p>
    <w:p w14:paraId="11F60FDD" w14:textId="77777777" w:rsidR="00514694" w:rsidRDefault="00514694">
      <w:pPr>
        <w:spacing w:after="120" w:line="276" w:lineRule="auto"/>
        <w:jc w:val="both"/>
        <w:rPr>
          <w:rFonts w:cs="Arial"/>
          <w:sz w:val="24"/>
          <w:szCs w:val="24"/>
        </w:rPr>
      </w:pPr>
    </w:p>
    <w:p w14:paraId="5AA9B044" w14:textId="5D3D05D7" w:rsidR="00C0566A" w:rsidRPr="00C0566A" w:rsidRDefault="00791D9C" w:rsidP="00C0566A">
      <w:pPr>
        <w:pStyle w:val="Heading2"/>
        <w:numPr>
          <w:ilvl w:val="1"/>
          <w:numId w:val="0"/>
        </w:numPr>
        <w:spacing w:before="120" w:after="120" w:line="240" w:lineRule="auto"/>
        <w:rPr>
          <w:caps w:val="0"/>
          <w:color w:val="365F90"/>
          <w:sz w:val="32"/>
          <w:szCs w:val="30"/>
        </w:rPr>
      </w:pPr>
      <w:bookmarkStart w:id="4" w:name="_Toc511039276"/>
      <w:r w:rsidRPr="00CD31A8">
        <w:rPr>
          <w:caps w:val="0"/>
          <w:color w:val="365F90"/>
          <w:sz w:val="32"/>
          <w:szCs w:val="30"/>
        </w:rPr>
        <w:lastRenderedPageBreak/>
        <w:t>P</w:t>
      </w:r>
      <w:r w:rsidR="00C0566A" w:rsidRPr="00CD31A8">
        <w:rPr>
          <w:caps w:val="0"/>
          <w:color w:val="365F90"/>
          <w:sz w:val="32"/>
          <w:szCs w:val="30"/>
        </w:rPr>
        <w:t>reface</w:t>
      </w:r>
      <w:r w:rsidR="00E4218B" w:rsidRPr="00CD31A8">
        <w:rPr>
          <w:caps w:val="0"/>
          <w:color w:val="365F90"/>
          <w:sz w:val="32"/>
          <w:szCs w:val="30"/>
        </w:rPr>
        <w:t>:</w:t>
      </w:r>
      <w:r w:rsidR="00E4218B">
        <w:rPr>
          <w:caps w:val="0"/>
          <w:color w:val="365F90"/>
          <w:sz w:val="32"/>
          <w:szCs w:val="30"/>
        </w:rPr>
        <w:t xml:space="preserve"> Why this review?</w:t>
      </w:r>
      <w:bookmarkEnd w:id="4"/>
      <w:r w:rsidR="00E4218B">
        <w:rPr>
          <w:caps w:val="0"/>
          <w:color w:val="365F90"/>
          <w:sz w:val="32"/>
          <w:szCs w:val="30"/>
        </w:rPr>
        <w:t xml:space="preserve"> </w:t>
      </w:r>
    </w:p>
    <w:p w14:paraId="4A1056D4" w14:textId="03E3FA27" w:rsidR="00C0566A" w:rsidRPr="001C6AD8" w:rsidRDefault="00B902D0">
      <w:pPr>
        <w:spacing w:after="120" w:line="276" w:lineRule="auto"/>
        <w:jc w:val="both"/>
        <w:rPr>
          <w:rFonts w:cs="Arial"/>
          <w:szCs w:val="24"/>
        </w:rPr>
      </w:pPr>
      <w:r w:rsidRPr="001C6AD8">
        <w:rPr>
          <w:rFonts w:cs="Arial"/>
          <w:szCs w:val="24"/>
        </w:rPr>
        <w:t xml:space="preserve">This document has been prepared by the EPF </w:t>
      </w:r>
      <w:r w:rsidR="00C0566A" w:rsidRPr="001C6AD8">
        <w:rPr>
          <w:rFonts w:cs="Arial"/>
          <w:szCs w:val="24"/>
        </w:rPr>
        <w:t xml:space="preserve">Secretariat for consultation with the membership. </w:t>
      </w:r>
      <w:r w:rsidR="005D40A5" w:rsidRPr="001C6AD8">
        <w:rPr>
          <w:rFonts w:cs="Arial"/>
          <w:szCs w:val="24"/>
        </w:rPr>
        <w:t xml:space="preserve">It </w:t>
      </w:r>
      <w:r w:rsidR="00C0566A" w:rsidRPr="001C6AD8">
        <w:rPr>
          <w:rFonts w:cs="Arial"/>
          <w:szCs w:val="24"/>
        </w:rPr>
        <w:t xml:space="preserve">builds </w:t>
      </w:r>
      <w:r w:rsidR="005D40A5" w:rsidRPr="001C6AD8">
        <w:rPr>
          <w:rFonts w:cs="Arial"/>
          <w:szCs w:val="24"/>
        </w:rPr>
        <w:t xml:space="preserve">on </w:t>
      </w:r>
      <w:r w:rsidR="00C0566A" w:rsidRPr="001C6AD8">
        <w:rPr>
          <w:rFonts w:cs="Arial"/>
          <w:szCs w:val="24"/>
        </w:rPr>
        <w:t xml:space="preserve">and extends </w:t>
      </w:r>
      <w:r w:rsidR="005D40A5" w:rsidRPr="001C6AD8">
        <w:rPr>
          <w:rFonts w:cs="Arial"/>
          <w:szCs w:val="24"/>
        </w:rPr>
        <w:t xml:space="preserve">a </w:t>
      </w:r>
      <w:r w:rsidR="00C0566A" w:rsidRPr="001C6AD8">
        <w:rPr>
          <w:rFonts w:cs="Arial"/>
          <w:szCs w:val="24"/>
        </w:rPr>
        <w:t xml:space="preserve">paper published in 2016 titled “core principles from the patient perspective on the Value and pricing of innovative medicines”. </w:t>
      </w:r>
    </w:p>
    <w:p w14:paraId="270F60F6" w14:textId="0B58FDDE" w:rsidR="00C0566A" w:rsidRPr="001C6AD8" w:rsidRDefault="00B902D0" w:rsidP="000A2B45">
      <w:pPr>
        <w:spacing w:after="120" w:line="276" w:lineRule="auto"/>
        <w:jc w:val="both"/>
        <w:rPr>
          <w:rFonts w:cs="Calibri"/>
        </w:rPr>
      </w:pPr>
      <w:r w:rsidRPr="001C6AD8">
        <w:rPr>
          <w:rFonts w:cs="Arial"/>
          <w:szCs w:val="24"/>
        </w:rPr>
        <w:t xml:space="preserve">The objective of </w:t>
      </w:r>
      <w:r w:rsidR="00C0566A" w:rsidRPr="001C6AD8">
        <w:rPr>
          <w:rFonts w:cs="Arial"/>
          <w:szCs w:val="24"/>
        </w:rPr>
        <w:t>the review</w:t>
      </w:r>
      <w:r w:rsidR="00614E07" w:rsidRPr="001C6AD8">
        <w:rPr>
          <w:rFonts w:cs="Arial"/>
          <w:szCs w:val="24"/>
        </w:rPr>
        <w:t xml:space="preserve"> and update </w:t>
      </w:r>
      <w:r w:rsidRPr="001C6AD8">
        <w:rPr>
          <w:rFonts w:cs="Arial"/>
          <w:szCs w:val="24"/>
        </w:rPr>
        <w:t>is to</w:t>
      </w:r>
      <w:r w:rsidR="000A2B45" w:rsidRPr="001C6AD8">
        <w:rPr>
          <w:rFonts w:cs="Arial"/>
          <w:szCs w:val="24"/>
        </w:rPr>
        <w:t xml:space="preserve"> t</w:t>
      </w:r>
      <w:r w:rsidR="00C0566A" w:rsidRPr="001C6AD8">
        <w:rPr>
          <w:rFonts w:cs="Calibri"/>
        </w:rPr>
        <w:t xml:space="preserve">ake account of </w:t>
      </w:r>
      <w:r w:rsidR="00614E07" w:rsidRPr="001C6AD8">
        <w:rPr>
          <w:rFonts w:cs="Calibri"/>
        </w:rPr>
        <w:t xml:space="preserve">several </w:t>
      </w:r>
      <w:r w:rsidR="00C0566A" w:rsidRPr="001C6AD8">
        <w:rPr>
          <w:rFonts w:cs="Calibri"/>
        </w:rPr>
        <w:t xml:space="preserve">developments in this area since the </w:t>
      </w:r>
      <w:r w:rsidR="000A2B45" w:rsidRPr="001C6AD8">
        <w:rPr>
          <w:rFonts w:cs="Calibri"/>
        </w:rPr>
        <w:t>publication of EPF’s 2016 paper; c</w:t>
      </w:r>
      <w:r w:rsidR="00C0566A" w:rsidRPr="001C6AD8">
        <w:rPr>
          <w:rFonts w:cs="Calibri"/>
        </w:rPr>
        <w:t xml:space="preserve">larify </w:t>
      </w:r>
      <w:r w:rsidR="00614E07" w:rsidRPr="001C6AD8">
        <w:rPr>
          <w:rFonts w:cs="Calibri"/>
        </w:rPr>
        <w:t>EPF</w:t>
      </w:r>
      <w:r w:rsidR="00ED727D" w:rsidRPr="001C6AD8">
        <w:rPr>
          <w:rFonts w:cs="Calibri"/>
        </w:rPr>
        <w:t xml:space="preserve">’s take on key concepts </w:t>
      </w:r>
      <w:r w:rsidR="000A2B45" w:rsidRPr="001C6AD8">
        <w:rPr>
          <w:rFonts w:cs="Calibri"/>
        </w:rPr>
        <w:t>and terminology; and c</w:t>
      </w:r>
      <w:r w:rsidR="00C0566A" w:rsidRPr="001C6AD8">
        <w:rPr>
          <w:rFonts w:cs="Calibri"/>
        </w:rPr>
        <w:t xml:space="preserve">larify and strengthen the call for action to </w:t>
      </w:r>
      <w:r w:rsidR="00ED727D" w:rsidRPr="001C6AD8">
        <w:rPr>
          <w:rFonts w:cs="Calibri"/>
        </w:rPr>
        <w:t xml:space="preserve">different </w:t>
      </w:r>
      <w:r w:rsidR="00C0566A" w:rsidRPr="001C6AD8">
        <w:rPr>
          <w:rFonts w:cs="Calibri"/>
        </w:rPr>
        <w:t>stakeholders</w:t>
      </w:r>
      <w:r w:rsidR="008A59B0" w:rsidRPr="001C6AD8">
        <w:rPr>
          <w:rFonts w:cs="Calibri"/>
        </w:rPr>
        <w:t>.</w:t>
      </w:r>
    </w:p>
    <w:p w14:paraId="177C09B9" w14:textId="77777777" w:rsidR="000A2B45" w:rsidRPr="001C6AD8" w:rsidRDefault="000A2B45" w:rsidP="000E5BE5">
      <w:pPr>
        <w:spacing w:after="120" w:line="276" w:lineRule="auto"/>
        <w:jc w:val="both"/>
        <w:rPr>
          <w:rFonts w:cs="Arial"/>
          <w:szCs w:val="24"/>
        </w:rPr>
      </w:pPr>
      <w:r w:rsidRPr="001C6AD8">
        <w:rPr>
          <w:rFonts w:cs="Arial"/>
          <w:szCs w:val="24"/>
        </w:rPr>
        <w:t xml:space="preserve">The main changes made are as follows: </w:t>
      </w:r>
    </w:p>
    <w:p w14:paraId="403137BC" w14:textId="4099AE89" w:rsidR="006733E3" w:rsidRPr="001C6AD8" w:rsidRDefault="000A2B45" w:rsidP="000A2B45">
      <w:pPr>
        <w:pStyle w:val="ListParagraph1"/>
        <w:numPr>
          <w:ilvl w:val="0"/>
          <w:numId w:val="2"/>
        </w:numPr>
        <w:spacing w:after="120" w:line="276" w:lineRule="auto"/>
        <w:ind w:left="714" w:hanging="357"/>
        <w:jc w:val="both"/>
        <w:rPr>
          <w:rFonts w:cs="Calibri"/>
        </w:rPr>
      </w:pPr>
      <w:r w:rsidRPr="001C6AD8">
        <w:rPr>
          <w:rFonts w:cs="Calibri"/>
        </w:rPr>
        <w:t xml:space="preserve">New chapters have been added to provide </w:t>
      </w:r>
      <w:r w:rsidR="00C0566A" w:rsidRPr="001C6AD8">
        <w:rPr>
          <w:rFonts w:cs="Calibri"/>
        </w:rPr>
        <w:t>con</w:t>
      </w:r>
      <w:r w:rsidR="00ED727D" w:rsidRPr="001C6AD8">
        <w:rPr>
          <w:rFonts w:cs="Calibri"/>
        </w:rPr>
        <w:t>text and background information</w:t>
      </w:r>
      <w:r w:rsidRPr="001C6AD8">
        <w:rPr>
          <w:rFonts w:cs="Calibri"/>
        </w:rPr>
        <w:t xml:space="preserve">. </w:t>
      </w:r>
      <w:r w:rsidR="006733E3" w:rsidRPr="001C6AD8">
        <w:rPr>
          <w:rFonts w:cs="Calibri"/>
        </w:rPr>
        <w:t>New chapters are</w:t>
      </w:r>
      <w:r w:rsidRPr="001C6AD8">
        <w:rPr>
          <w:rFonts w:cs="Calibri"/>
        </w:rPr>
        <w:t xml:space="preserve"> highlighted</w:t>
      </w:r>
      <w:r w:rsidR="00D03D09">
        <w:rPr>
          <w:rFonts w:cs="Calibri"/>
        </w:rPr>
        <w:t xml:space="preserve"> (only in this version);</w:t>
      </w:r>
    </w:p>
    <w:p w14:paraId="18AAC856" w14:textId="696BF4D4" w:rsidR="000A2B45" w:rsidRPr="001C6AD8" w:rsidRDefault="000A2B45" w:rsidP="000A2B45">
      <w:pPr>
        <w:pStyle w:val="ListParagraph1"/>
        <w:numPr>
          <w:ilvl w:val="0"/>
          <w:numId w:val="2"/>
        </w:numPr>
        <w:spacing w:after="120" w:line="276" w:lineRule="auto"/>
        <w:ind w:left="714" w:hanging="357"/>
        <w:jc w:val="both"/>
        <w:rPr>
          <w:rFonts w:cs="Calibri"/>
        </w:rPr>
      </w:pPr>
      <w:r w:rsidRPr="001C6AD8">
        <w:rPr>
          <w:rFonts w:cs="Calibri"/>
        </w:rPr>
        <w:t>New content has been added for some sub-chapters</w:t>
      </w:r>
      <w:r w:rsidR="00D03D09">
        <w:rPr>
          <w:rFonts w:cs="Calibri"/>
        </w:rPr>
        <w:t>;</w:t>
      </w:r>
    </w:p>
    <w:p w14:paraId="53A5AB39" w14:textId="001EDF55" w:rsidR="006733E3" w:rsidRPr="001C6AD8" w:rsidRDefault="006733E3" w:rsidP="000A2B45">
      <w:pPr>
        <w:pStyle w:val="ListParagraph1"/>
        <w:numPr>
          <w:ilvl w:val="0"/>
          <w:numId w:val="2"/>
        </w:numPr>
        <w:spacing w:after="120" w:line="276" w:lineRule="auto"/>
        <w:ind w:left="714" w:hanging="357"/>
        <w:jc w:val="both"/>
        <w:rPr>
          <w:rFonts w:cs="Calibri"/>
        </w:rPr>
      </w:pPr>
      <w:r w:rsidRPr="001C6AD8">
        <w:rPr>
          <w:rFonts w:cs="Calibri"/>
        </w:rPr>
        <w:t xml:space="preserve">Substantial changes </w:t>
      </w:r>
      <w:r w:rsidR="000A2B45" w:rsidRPr="001C6AD8">
        <w:rPr>
          <w:rFonts w:cs="Calibri"/>
        </w:rPr>
        <w:t xml:space="preserve">and additions in the text </w:t>
      </w:r>
      <w:r w:rsidR="00D03D09">
        <w:rPr>
          <w:rFonts w:cs="Calibri"/>
        </w:rPr>
        <w:t xml:space="preserve">have been </w:t>
      </w:r>
      <w:r w:rsidR="0009043E">
        <w:rPr>
          <w:rFonts w:cs="Calibri"/>
        </w:rPr>
        <w:t>given in blue text</w:t>
      </w:r>
      <w:r w:rsidR="00A60D03">
        <w:rPr>
          <w:rFonts w:cs="Calibri"/>
        </w:rPr>
        <w:t xml:space="preserve"> for easier reference</w:t>
      </w:r>
      <w:r w:rsidR="00B3395E">
        <w:rPr>
          <w:rFonts w:cs="Calibri"/>
        </w:rPr>
        <w:t>; there are some internal explanatory footnotes, which will be removed from the</w:t>
      </w:r>
      <w:r w:rsidR="00CC1119">
        <w:rPr>
          <w:rFonts w:cs="Calibri"/>
        </w:rPr>
        <w:t xml:space="preserve"> final </w:t>
      </w:r>
      <w:r w:rsidR="00B3395E">
        <w:rPr>
          <w:rFonts w:cs="Calibri"/>
        </w:rPr>
        <w:t>version of the paper</w:t>
      </w:r>
      <w:r w:rsidR="00A60D03">
        <w:rPr>
          <w:rFonts w:cs="Calibri"/>
        </w:rPr>
        <w:t>;</w:t>
      </w:r>
      <w:r w:rsidRPr="001C6AD8">
        <w:rPr>
          <w:rFonts w:cs="Calibri"/>
        </w:rPr>
        <w:t xml:space="preserve"> </w:t>
      </w:r>
      <w:r w:rsidR="00C0566A" w:rsidRPr="001C6AD8">
        <w:rPr>
          <w:rFonts w:cs="Calibri"/>
        </w:rPr>
        <w:t xml:space="preserve"> </w:t>
      </w:r>
    </w:p>
    <w:p w14:paraId="0520055A" w14:textId="2D74B5F2" w:rsidR="000A2B45" w:rsidRPr="001C6AD8" w:rsidRDefault="00D03D09" w:rsidP="000A2B45">
      <w:pPr>
        <w:pStyle w:val="ListParagraph1"/>
        <w:numPr>
          <w:ilvl w:val="0"/>
          <w:numId w:val="2"/>
        </w:numPr>
        <w:spacing w:after="120" w:line="276" w:lineRule="auto"/>
        <w:ind w:left="714" w:hanging="357"/>
        <w:jc w:val="both"/>
        <w:rPr>
          <w:rFonts w:cs="Calibri"/>
        </w:rPr>
      </w:pPr>
      <w:r>
        <w:rPr>
          <w:rFonts w:cs="Calibri"/>
        </w:rPr>
        <w:t xml:space="preserve">The </w:t>
      </w:r>
      <w:r w:rsidR="000A2B45" w:rsidRPr="001C6AD8">
        <w:rPr>
          <w:rFonts w:cs="Calibri"/>
        </w:rPr>
        <w:t xml:space="preserve">order of the paper has been </w:t>
      </w:r>
      <w:r>
        <w:rPr>
          <w:rFonts w:cs="Calibri"/>
        </w:rPr>
        <w:t>adjusted to have a</w:t>
      </w:r>
      <w:r w:rsidR="000A2B45" w:rsidRPr="001C6AD8">
        <w:rPr>
          <w:rFonts w:cs="Calibri"/>
        </w:rPr>
        <w:t xml:space="preserve"> more logical structure</w:t>
      </w:r>
      <w:r w:rsidR="00CA00A8">
        <w:rPr>
          <w:rFonts w:cs="Calibri"/>
        </w:rPr>
        <w:t>;</w:t>
      </w:r>
    </w:p>
    <w:p w14:paraId="4FD96DE5" w14:textId="012CC9B7" w:rsidR="000A2B45" w:rsidRPr="001C6AD8" w:rsidRDefault="000A2B45" w:rsidP="000A2B45">
      <w:pPr>
        <w:pStyle w:val="ListParagraph1"/>
        <w:numPr>
          <w:ilvl w:val="0"/>
          <w:numId w:val="2"/>
        </w:numPr>
        <w:spacing w:after="120" w:line="276" w:lineRule="auto"/>
        <w:ind w:left="714" w:hanging="357"/>
        <w:jc w:val="both"/>
        <w:rPr>
          <w:rFonts w:cs="Calibri"/>
        </w:rPr>
      </w:pPr>
      <w:r w:rsidRPr="001C6AD8">
        <w:rPr>
          <w:rFonts w:cs="Calibri"/>
        </w:rPr>
        <w:t>The key principles have been revised</w:t>
      </w:r>
      <w:r w:rsidR="00D03D09">
        <w:rPr>
          <w:rFonts w:cs="Calibri"/>
        </w:rPr>
        <w:t xml:space="preserve"> and expanded</w:t>
      </w:r>
      <w:r w:rsidRPr="001C6AD8">
        <w:rPr>
          <w:rFonts w:cs="Calibri"/>
        </w:rPr>
        <w:t xml:space="preserve">. </w:t>
      </w:r>
    </w:p>
    <w:p w14:paraId="7CD98F72" w14:textId="08C85726" w:rsidR="00CA00A8" w:rsidRPr="00CA00A8" w:rsidRDefault="00103D7F" w:rsidP="00CA00A8">
      <w:pPr>
        <w:spacing w:after="120" w:line="240" w:lineRule="auto"/>
        <w:jc w:val="both"/>
        <w:rPr>
          <w:rFonts w:cs="Arial"/>
          <w:b/>
          <w:szCs w:val="24"/>
        </w:rPr>
      </w:pPr>
      <w:r>
        <w:rPr>
          <w:rFonts w:cs="Arial"/>
          <w:b/>
          <w:szCs w:val="24"/>
        </w:rPr>
        <w:t>How to provide feedback</w:t>
      </w:r>
      <w:r w:rsidR="00CA00A8" w:rsidRPr="00CA00A8">
        <w:rPr>
          <w:rFonts w:cs="Arial"/>
          <w:b/>
          <w:szCs w:val="24"/>
        </w:rPr>
        <w:t>?</w:t>
      </w:r>
    </w:p>
    <w:p w14:paraId="2B2C1811" w14:textId="77777777" w:rsidR="001A0CA2" w:rsidRDefault="001A0CA2" w:rsidP="008E41CB">
      <w:pPr>
        <w:spacing w:after="120" w:line="276" w:lineRule="auto"/>
        <w:jc w:val="both"/>
        <w:rPr>
          <w:rFonts w:cs="Arial"/>
          <w:szCs w:val="24"/>
        </w:rPr>
      </w:pPr>
      <w:r w:rsidRPr="008E41CB">
        <w:rPr>
          <w:rFonts w:cs="Arial"/>
          <w:szCs w:val="24"/>
        </w:rPr>
        <w:t xml:space="preserve">EPF members have an opportunity to comment on each section, answering the questions or providing other input. If you modify the document, please use </w:t>
      </w:r>
      <w:r w:rsidRPr="008E41CB">
        <w:rPr>
          <w:rFonts w:cs="Arial"/>
          <w:szCs w:val="24"/>
          <w:u w:val="single"/>
        </w:rPr>
        <w:t>track changes</w:t>
      </w:r>
      <w:r w:rsidRPr="008E41CB">
        <w:rPr>
          <w:rFonts w:cs="Arial"/>
          <w:szCs w:val="24"/>
        </w:rPr>
        <w:t>. We are also happy to receive comments by email.</w:t>
      </w:r>
      <w:r w:rsidR="00CA00A8" w:rsidRPr="008E41CB">
        <w:rPr>
          <w:rFonts w:cs="Arial"/>
          <w:szCs w:val="24"/>
        </w:rPr>
        <w:t xml:space="preserve"> </w:t>
      </w:r>
      <w:r w:rsidRPr="008E41CB">
        <w:rPr>
          <w:rFonts w:cs="Arial"/>
          <w:szCs w:val="24"/>
        </w:rPr>
        <w:t xml:space="preserve">We would like members comments on this draft by </w:t>
      </w:r>
      <w:r w:rsidRPr="008E41CB">
        <w:rPr>
          <w:rFonts w:cs="Arial"/>
          <w:b/>
          <w:szCs w:val="24"/>
        </w:rPr>
        <w:t>25 May</w:t>
      </w:r>
      <w:r w:rsidRPr="008E41CB">
        <w:rPr>
          <w:rFonts w:cs="Arial"/>
          <w:szCs w:val="24"/>
        </w:rPr>
        <w:t xml:space="preserve">. </w:t>
      </w:r>
    </w:p>
    <w:p w14:paraId="08C4127E" w14:textId="79FB8F9F" w:rsidR="00103D7F" w:rsidRPr="00103D7F" w:rsidRDefault="00103D7F" w:rsidP="00103D7F">
      <w:pPr>
        <w:spacing w:after="120" w:line="240" w:lineRule="auto"/>
        <w:jc w:val="both"/>
        <w:rPr>
          <w:rFonts w:cs="Arial"/>
          <w:b/>
          <w:szCs w:val="24"/>
        </w:rPr>
      </w:pPr>
      <w:r w:rsidRPr="00103D7F">
        <w:rPr>
          <w:rFonts w:cs="Arial"/>
          <w:b/>
          <w:szCs w:val="24"/>
        </w:rPr>
        <w:t xml:space="preserve">Next steps </w:t>
      </w:r>
    </w:p>
    <w:p w14:paraId="221B56B9" w14:textId="1E6E589C" w:rsidR="00ED727D" w:rsidRPr="008E41CB" w:rsidRDefault="001A0CA2" w:rsidP="008E41CB">
      <w:pPr>
        <w:spacing w:after="120" w:line="276" w:lineRule="auto"/>
        <w:jc w:val="both"/>
        <w:rPr>
          <w:rFonts w:cs="Arial"/>
          <w:szCs w:val="24"/>
        </w:rPr>
      </w:pPr>
      <w:r w:rsidRPr="008E41CB">
        <w:rPr>
          <w:rFonts w:cs="Arial"/>
          <w:szCs w:val="24"/>
        </w:rPr>
        <w:t xml:space="preserve">A second, shorter, round of consultation on the pre-final version will then take place. </w:t>
      </w:r>
      <w:r w:rsidR="00ED727D" w:rsidRPr="008E41CB">
        <w:rPr>
          <w:rFonts w:cs="Arial"/>
          <w:szCs w:val="24"/>
        </w:rPr>
        <w:t>As part of</w:t>
      </w:r>
      <w:r w:rsidRPr="008E41CB">
        <w:rPr>
          <w:rFonts w:cs="Arial"/>
          <w:szCs w:val="24"/>
        </w:rPr>
        <w:t xml:space="preserve"> this process, we will organise </w:t>
      </w:r>
      <w:r w:rsidR="00ED727D" w:rsidRPr="008E41CB">
        <w:rPr>
          <w:rFonts w:cs="Arial"/>
          <w:szCs w:val="24"/>
        </w:rPr>
        <w:t xml:space="preserve">a </w:t>
      </w:r>
      <w:r w:rsidR="00ED727D" w:rsidRPr="008E41CB">
        <w:rPr>
          <w:rFonts w:cs="Arial"/>
          <w:szCs w:val="24"/>
          <w:u w:val="single"/>
        </w:rPr>
        <w:t>web-meeting</w:t>
      </w:r>
      <w:r w:rsidR="00ED727D" w:rsidRPr="008E41CB">
        <w:rPr>
          <w:rFonts w:cs="Arial"/>
          <w:szCs w:val="24"/>
        </w:rPr>
        <w:t xml:space="preserve"> </w:t>
      </w:r>
      <w:r w:rsidRPr="008E41CB">
        <w:rPr>
          <w:rFonts w:cs="Arial"/>
          <w:szCs w:val="24"/>
        </w:rPr>
        <w:t xml:space="preserve">to give interested members an opportunity to </w:t>
      </w:r>
      <w:r w:rsidR="00ED727D" w:rsidRPr="008E41CB">
        <w:rPr>
          <w:rFonts w:cs="Arial"/>
          <w:szCs w:val="24"/>
        </w:rPr>
        <w:t xml:space="preserve">discuss specific questions </w:t>
      </w:r>
      <w:r w:rsidRPr="008E41CB">
        <w:rPr>
          <w:rFonts w:cs="Arial"/>
          <w:szCs w:val="24"/>
        </w:rPr>
        <w:t xml:space="preserve">in a more interactive manner. We foresee the </w:t>
      </w:r>
      <w:r w:rsidR="00781137" w:rsidRPr="008E41CB">
        <w:rPr>
          <w:rFonts w:cs="Arial"/>
          <w:szCs w:val="24"/>
        </w:rPr>
        <w:t xml:space="preserve">date </w:t>
      </w:r>
      <w:r w:rsidRPr="008E41CB">
        <w:rPr>
          <w:rFonts w:cs="Arial"/>
          <w:szCs w:val="24"/>
        </w:rPr>
        <w:t xml:space="preserve">of the web meeting to take place during the last week of May. The exact timing </w:t>
      </w:r>
      <w:r w:rsidR="00781137" w:rsidRPr="008E41CB">
        <w:rPr>
          <w:rFonts w:cs="Arial"/>
          <w:szCs w:val="24"/>
        </w:rPr>
        <w:t>will be communicated in the “Insiders”.</w:t>
      </w:r>
      <w:r w:rsidR="00ED727D" w:rsidRPr="008E41CB">
        <w:rPr>
          <w:rFonts w:cs="Arial"/>
          <w:szCs w:val="24"/>
        </w:rPr>
        <w:t xml:space="preserve"> </w:t>
      </w:r>
    </w:p>
    <w:p w14:paraId="1C46909B" w14:textId="20D74344" w:rsidR="00C0566A" w:rsidRPr="008E41CB" w:rsidRDefault="001A0CA2" w:rsidP="008E41CB">
      <w:pPr>
        <w:spacing w:after="120" w:line="276" w:lineRule="auto"/>
        <w:jc w:val="both"/>
        <w:rPr>
          <w:rFonts w:cs="Arial"/>
          <w:szCs w:val="24"/>
        </w:rPr>
      </w:pPr>
      <w:r w:rsidRPr="008E41CB">
        <w:rPr>
          <w:rFonts w:cs="Arial"/>
          <w:szCs w:val="24"/>
        </w:rPr>
        <w:t xml:space="preserve">The </w:t>
      </w:r>
      <w:r w:rsidR="00C0566A" w:rsidRPr="008E41CB">
        <w:rPr>
          <w:rFonts w:cs="Arial"/>
          <w:szCs w:val="24"/>
        </w:rPr>
        <w:t>consolidated</w:t>
      </w:r>
      <w:r w:rsidR="008A59B0" w:rsidRPr="008E41CB">
        <w:rPr>
          <w:rFonts w:cs="Arial"/>
          <w:szCs w:val="24"/>
        </w:rPr>
        <w:t>,</w:t>
      </w:r>
      <w:r w:rsidR="00C0566A" w:rsidRPr="008E41CB">
        <w:rPr>
          <w:rFonts w:cs="Arial"/>
          <w:szCs w:val="24"/>
        </w:rPr>
        <w:t xml:space="preserve"> updated version of </w:t>
      </w:r>
      <w:r w:rsidRPr="008E41CB">
        <w:rPr>
          <w:rFonts w:cs="Arial"/>
          <w:szCs w:val="24"/>
        </w:rPr>
        <w:t>the EPF paper will be published once finalised and we will make a “</w:t>
      </w:r>
      <w:r w:rsidR="006239D3" w:rsidRPr="008E41CB">
        <w:rPr>
          <w:rFonts w:cs="Arial"/>
          <w:szCs w:val="24"/>
        </w:rPr>
        <w:t>one-pager</w:t>
      </w:r>
      <w:r w:rsidRPr="008E41CB">
        <w:rPr>
          <w:rFonts w:cs="Arial"/>
          <w:szCs w:val="24"/>
        </w:rPr>
        <w:t>”</w:t>
      </w:r>
      <w:r w:rsidR="006239D3" w:rsidRPr="008E41CB">
        <w:rPr>
          <w:rFonts w:cs="Arial"/>
          <w:szCs w:val="24"/>
        </w:rPr>
        <w:t xml:space="preserve"> </w:t>
      </w:r>
      <w:r w:rsidR="00ED727D" w:rsidRPr="008E41CB">
        <w:rPr>
          <w:rFonts w:cs="Arial"/>
          <w:szCs w:val="24"/>
        </w:rPr>
        <w:t xml:space="preserve">or </w:t>
      </w:r>
      <w:proofErr w:type="spellStart"/>
      <w:r w:rsidR="00ED727D" w:rsidRPr="008E41CB">
        <w:rPr>
          <w:rFonts w:cs="Arial"/>
          <w:szCs w:val="24"/>
        </w:rPr>
        <w:t>infographic</w:t>
      </w:r>
      <w:proofErr w:type="spellEnd"/>
      <w:r w:rsidR="00ED727D" w:rsidRPr="008E41CB">
        <w:rPr>
          <w:rFonts w:cs="Arial"/>
          <w:szCs w:val="24"/>
        </w:rPr>
        <w:t xml:space="preserve"> </w:t>
      </w:r>
      <w:r w:rsidR="006239D3" w:rsidRPr="008E41CB">
        <w:rPr>
          <w:rFonts w:cs="Arial"/>
          <w:szCs w:val="24"/>
        </w:rPr>
        <w:t>with key messages</w:t>
      </w:r>
      <w:r w:rsidRPr="008E41CB">
        <w:rPr>
          <w:rFonts w:cs="Arial"/>
          <w:szCs w:val="24"/>
        </w:rPr>
        <w:t>, which can be used</w:t>
      </w:r>
      <w:r w:rsidR="00ED727D" w:rsidRPr="008E41CB">
        <w:rPr>
          <w:rFonts w:cs="Arial"/>
          <w:szCs w:val="24"/>
        </w:rPr>
        <w:t xml:space="preserve"> as an</w:t>
      </w:r>
      <w:r w:rsidR="006239D3" w:rsidRPr="008E41CB">
        <w:rPr>
          <w:rFonts w:cs="Arial"/>
          <w:szCs w:val="24"/>
        </w:rPr>
        <w:t xml:space="preserve"> easy </w:t>
      </w:r>
      <w:r w:rsidR="00ED727D" w:rsidRPr="008E41CB">
        <w:rPr>
          <w:rFonts w:cs="Arial"/>
          <w:szCs w:val="24"/>
        </w:rPr>
        <w:t xml:space="preserve">advocacy tool and </w:t>
      </w:r>
      <w:r w:rsidR="006239D3" w:rsidRPr="008E41CB">
        <w:rPr>
          <w:rFonts w:cs="Arial"/>
          <w:szCs w:val="24"/>
        </w:rPr>
        <w:t xml:space="preserve">reference </w:t>
      </w:r>
      <w:r w:rsidR="00ED727D" w:rsidRPr="008E41CB">
        <w:rPr>
          <w:rFonts w:cs="Arial"/>
          <w:szCs w:val="24"/>
        </w:rPr>
        <w:t xml:space="preserve">document for </w:t>
      </w:r>
      <w:r w:rsidRPr="008E41CB">
        <w:rPr>
          <w:rFonts w:cs="Arial"/>
          <w:szCs w:val="24"/>
        </w:rPr>
        <w:t xml:space="preserve">interactions with </w:t>
      </w:r>
      <w:r w:rsidR="006239D3" w:rsidRPr="008E41CB">
        <w:rPr>
          <w:rFonts w:cs="Arial"/>
          <w:szCs w:val="24"/>
        </w:rPr>
        <w:t xml:space="preserve">policymakers and media. </w:t>
      </w:r>
    </w:p>
    <w:p w14:paraId="1CFE934F" w14:textId="77777777" w:rsidR="000E5BE5" w:rsidRPr="00782FC3" w:rsidRDefault="000E5BE5" w:rsidP="000E5BE5">
      <w:pPr>
        <w:spacing w:after="120" w:line="276" w:lineRule="auto"/>
        <w:jc w:val="both"/>
        <w:rPr>
          <w:rFonts w:cs="Calibri"/>
          <w:b/>
          <w:color w:val="C00000"/>
        </w:rPr>
      </w:pPr>
    </w:p>
    <w:p w14:paraId="4A65815A" w14:textId="77777777" w:rsidR="005C6697" w:rsidRDefault="005C6697">
      <w:pPr>
        <w:spacing w:after="0" w:line="240" w:lineRule="auto"/>
        <w:rPr>
          <w:rFonts w:ascii="Candara" w:hAnsi="Candara"/>
          <w:b/>
          <w:bCs/>
          <w:color w:val="365F90"/>
          <w:sz w:val="32"/>
          <w:szCs w:val="30"/>
        </w:rPr>
      </w:pPr>
      <w:r>
        <w:rPr>
          <w:caps/>
          <w:color w:val="365F90"/>
          <w:sz w:val="32"/>
          <w:szCs w:val="30"/>
        </w:rPr>
        <w:br w:type="page"/>
      </w:r>
    </w:p>
    <w:p w14:paraId="171A1201" w14:textId="3004FCDD" w:rsidR="00421B64" w:rsidRPr="00C0566A" w:rsidRDefault="00B902D0">
      <w:pPr>
        <w:pStyle w:val="Heading2"/>
        <w:numPr>
          <w:ilvl w:val="1"/>
          <w:numId w:val="0"/>
        </w:numPr>
        <w:spacing w:before="120" w:after="120" w:line="240" w:lineRule="auto"/>
        <w:rPr>
          <w:caps w:val="0"/>
          <w:color w:val="365F90"/>
          <w:sz w:val="32"/>
          <w:szCs w:val="30"/>
        </w:rPr>
      </w:pPr>
      <w:bookmarkStart w:id="5" w:name="_Toc511039277"/>
      <w:r w:rsidRPr="00C0566A">
        <w:rPr>
          <w:caps w:val="0"/>
          <w:color w:val="365F90"/>
          <w:sz w:val="32"/>
          <w:szCs w:val="30"/>
        </w:rPr>
        <w:lastRenderedPageBreak/>
        <w:t>Introduction</w:t>
      </w:r>
      <w:bookmarkEnd w:id="5"/>
      <w:r w:rsidRPr="00C0566A">
        <w:rPr>
          <w:caps w:val="0"/>
          <w:color w:val="365F90"/>
          <w:sz w:val="32"/>
          <w:szCs w:val="30"/>
        </w:rPr>
        <w:t xml:space="preserve"> </w:t>
      </w:r>
    </w:p>
    <w:p w14:paraId="10864407" w14:textId="13DB2363" w:rsidR="00421B64" w:rsidRPr="00782FC3" w:rsidRDefault="00B902D0" w:rsidP="0070563B">
      <w:pPr>
        <w:spacing w:after="120" w:line="276" w:lineRule="auto"/>
        <w:jc w:val="both"/>
        <w:rPr>
          <w:rFonts w:cs="Calibri"/>
        </w:rPr>
      </w:pPr>
      <w:r w:rsidRPr="00782FC3">
        <w:rPr>
          <w:rFonts w:cs="Arial"/>
          <w:szCs w:val="24"/>
        </w:rPr>
        <w:t xml:space="preserve">The European Patients’ Forum’s vision is </w:t>
      </w:r>
      <w:r w:rsidRPr="00782FC3">
        <w:rPr>
          <w:color w:val="231F20"/>
          <w:szCs w:val="24"/>
          <w:shd w:val="clear" w:color="auto" w:fill="FFFFFF"/>
        </w:rPr>
        <w:t xml:space="preserve">that all patients with chronic and/or lifelong </w:t>
      </w:r>
      <w:r w:rsidR="00910165" w:rsidRPr="00782FC3">
        <w:rPr>
          <w:color w:val="231F20"/>
          <w:szCs w:val="24"/>
          <w:shd w:val="clear" w:color="auto" w:fill="FFFFFF"/>
        </w:rPr>
        <w:t xml:space="preserve">health </w:t>
      </w:r>
      <w:r w:rsidRPr="00782FC3">
        <w:rPr>
          <w:color w:val="231F20"/>
          <w:szCs w:val="24"/>
          <w:shd w:val="clear" w:color="auto" w:fill="FFFFFF"/>
        </w:rPr>
        <w:t>conditions in the EU have access to high quality, patient-centred equitable health and social care.</w:t>
      </w:r>
      <w:r w:rsidRPr="00782FC3">
        <w:rPr>
          <w:rFonts w:cs="Calibri"/>
        </w:rPr>
        <w:t xml:space="preserve"> Access to healthcare, including to medicines, is recognised as a fundamental right and promoted as a common EU policy. </w:t>
      </w:r>
      <w:r w:rsidRPr="00782FC3">
        <w:t xml:space="preserve">Timely access to accurate diagnosis and appropriate treatment not only improves patient health and well-being but can also offset significant costs to the health and social systems as a result of avoidable exacerbation of health conditions. </w:t>
      </w:r>
      <w:r w:rsidRPr="00782FC3">
        <w:rPr>
          <w:rFonts w:cs="Arial"/>
          <w:szCs w:val="24"/>
        </w:rPr>
        <w:t xml:space="preserve">For patients with chronic diseases, medicines form an important, sometimes crucial, aspect of treatment. New and better </w:t>
      </w:r>
      <w:r w:rsidR="001757B6" w:rsidRPr="00782FC3">
        <w:rPr>
          <w:rFonts w:cs="Arial"/>
          <w:szCs w:val="24"/>
        </w:rPr>
        <w:t>medicines</w:t>
      </w:r>
      <w:r w:rsidRPr="00782FC3">
        <w:rPr>
          <w:rFonts w:cs="Arial"/>
          <w:szCs w:val="24"/>
        </w:rPr>
        <w:t xml:space="preserve"> hold the promise of significant improvements to health or quality of life or even a new lease on life in </w:t>
      </w:r>
      <w:r w:rsidR="00FF1567" w:rsidRPr="00782FC3">
        <w:rPr>
          <w:rFonts w:cs="Arial"/>
          <w:szCs w:val="24"/>
        </w:rPr>
        <w:t xml:space="preserve">the </w:t>
      </w:r>
      <w:r w:rsidRPr="00782FC3">
        <w:rPr>
          <w:rFonts w:cs="Arial"/>
          <w:szCs w:val="24"/>
        </w:rPr>
        <w:t xml:space="preserve">form of a cure.  </w:t>
      </w:r>
      <w:r w:rsidR="000755FD" w:rsidRPr="00782FC3">
        <w:rPr>
          <w:rFonts w:cs="Calibri"/>
        </w:rPr>
        <w:t xml:space="preserve">Access to medicines can be framed in similar terms as access to healthcare generally, </w:t>
      </w:r>
      <w:r w:rsidR="00FF1567" w:rsidRPr="00782FC3">
        <w:rPr>
          <w:rFonts w:cs="Calibri"/>
        </w:rPr>
        <w:t>following</w:t>
      </w:r>
      <w:r w:rsidR="002257FA" w:rsidRPr="00782FC3">
        <w:rPr>
          <w:rFonts w:cs="Calibri"/>
        </w:rPr>
        <w:t xml:space="preserve"> </w:t>
      </w:r>
      <w:r w:rsidR="00FF1567" w:rsidRPr="00782FC3">
        <w:rPr>
          <w:rFonts w:cs="Calibri"/>
        </w:rPr>
        <w:t xml:space="preserve">EPF’s </w:t>
      </w:r>
      <w:r w:rsidR="000755FD" w:rsidRPr="00782FC3">
        <w:rPr>
          <w:rFonts w:cs="Calibri"/>
        </w:rPr>
        <w:t>principle of equitable access based on needs not means:</w:t>
      </w:r>
    </w:p>
    <w:p w14:paraId="09EC840F" w14:textId="5D69E3BD" w:rsidR="00421B64" w:rsidRPr="0053791C" w:rsidRDefault="00B902D0" w:rsidP="009D109E">
      <w:pPr>
        <w:pStyle w:val="ListParagraph1"/>
        <w:numPr>
          <w:ilvl w:val="0"/>
          <w:numId w:val="2"/>
        </w:numPr>
        <w:spacing w:after="120" w:line="252" w:lineRule="auto"/>
        <w:jc w:val="both"/>
        <w:rPr>
          <w:rFonts w:cs="Calibri"/>
        </w:rPr>
      </w:pPr>
      <w:r w:rsidRPr="0053791C">
        <w:rPr>
          <w:rFonts w:cs="Calibri"/>
          <w:i/>
        </w:rPr>
        <w:t>Availability</w:t>
      </w:r>
      <w:r w:rsidRPr="0053791C">
        <w:rPr>
          <w:rFonts w:cs="Calibri"/>
        </w:rPr>
        <w:t>:  the medicine needs to be available in the market</w:t>
      </w:r>
      <w:r w:rsidR="009D109E">
        <w:rPr>
          <w:rStyle w:val="FootnoteReference"/>
          <w:rFonts w:cs="Calibri"/>
        </w:rPr>
        <w:footnoteReference w:id="1"/>
      </w:r>
      <w:r w:rsidRPr="0053791C">
        <w:rPr>
          <w:rFonts w:cs="Calibri"/>
        </w:rPr>
        <w:t xml:space="preserve">; </w:t>
      </w:r>
    </w:p>
    <w:p w14:paraId="5192D9D0" w14:textId="4899602F" w:rsidR="00421B64" w:rsidRPr="0053791C" w:rsidRDefault="00B902D0" w:rsidP="00565205">
      <w:pPr>
        <w:pStyle w:val="ListParagraph1"/>
        <w:numPr>
          <w:ilvl w:val="0"/>
          <w:numId w:val="2"/>
        </w:numPr>
        <w:spacing w:after="120" w:line="252" w:lineRule="auto"/>
        <w:ind w:left="714" w:hanging="357"/>
        <w:jc w:val="both"/>
        <w:rPr>
          <w:rFonts w:cs="Calibri"/>
        </w:rPr>
      </w:pPr>
      <w:r w:rsidRPr="0053791C">
        <w:rPr>
          <w:rFonts w:cs="Calibri"/>
          <w:i/>
        </w:rPr>
        <w:t>Affordability</w:t>
      </w:r>
      <w:r w:rsidRPr="0053791C">
        <w:rPr>
          <w:rFonts w:cs="Calibri"/>
        </w:rPr>
        <w:t xml:space="preserve">: </w:t>
      </w:r>
      <w:r w:rsidR="006E26DB" w:rsidRPr="0053791C">
        <w:rPr>
          <w:rFonts w:cs="Calibri"/>
        </w:rPr>
        <w:t>patients should not suffer financial hardship as a result of seeking treatment</w:t>
      </w:r>
      <w:r w:rsidR="006E26DB" w:rsidRPr="0053791C">
        <w:t xml:space="preserve"> and </w:t>
      </w:r>
      <w:r w:rsidR="00A84984" w:rsidRPr="0053791C">
        <w:t>healthcare systems should not suffer financial hardship as a result of seeking to provide treatment for their citizens</w:t>
      </w:r>
      <w:r w:rsidRPr="0053791C">
        <w:rPr>
          <w:rFonts w:cs="Calibri"/>
        </w:rPr>
        <w:t>;</w:t>
      </w:r>
    </w:p>
    <w:p w14:paraId="09BADA68" w14:textId="77777777" w:rsidR="00421B64" w:rsidRPr="0053791C" w:rsidRDefault="00B902D0" w:rsidP="00565205">
      <w:pPr>
        <w:pStyle w:val="ListParagraph1"/>
        <w:numPr>
          <w:ilvl w:val="0"/>
          <w:numId w:val="2"/>
        </w:numPr>
        <w:spacing w:after="120" w:line="252" w:lineRule="auto"/>
        <w:ind w:left="714" w:hanging="357"/>
        <w:jc w:val="both"/>
        <w:rPr>
          <w:rFonts w:cs="Calibri"/>
        </w:rPr>
      </w:pPr>
      <w:r w:rsidRPr="0053791C">
        <w:rPr>
          <w:rFonts w:cs="Calibri"/>
          <w:i/>
        </w:rPr>
        <w:t>Adequacy</w:t>
      </w:r>
      <w:r w:rsidRPr="0053791C">
        <w:rPr>
          <w:rFonts w:cs="Calibri"/>
        </w:rPr>
        <w:t xml:space="preserve">:  the medicine should be safe, of high quality and effective; </w:t>
      </w:r>
    </w:p>
    <w:p w14:paraId="60597317" w14:textId="77777777" w:rsidR="00421B64" w:rsidRPr="0053791C" w:rsidRDefault="00B902D0" w:rsidP="00565205">
      <w:pPr>
        <w:pStyle w:val="ListParagraph1"/>
        <w:numPr>
          <w:ilvl w:val="0"/>
          <w:numId w:val="2"/>
        </w:numPr>
        <w:spacing w:after="120" w:line="252" w:lineRule="auto"/>
        <w:ind w:left="714" w:hanging="357"/>
        <w:jc w:val="both"/>
        <w:rPr>
          <w:rFonts w:cs="Calibri"/>
        </w:rPr>
      </w:pPr>
      <w:r w:rsidRPr="0053791C">
        <w:rPr>
          <w:rFonts w:cs="Calibri"/>
          <w:i/>
        </w:rPr>
        <w:t>Appropriateness</w:t>
      </w:r>
      <w:r w:rsidRPr="0053791C">
        <w:rPr>
          <w:rFonts w:cs="Calibri"/>
        </w:rPr>
        <w:t xml:space="preserve">: the medicine needs to be appropriate for patients’ needs; </w:t>
      </w:r>
    </w:p>
    <w:p w14:paraId="62A112BE" w14:textId="03E4F5AE" w:rsidR="00421B64" w:rsidRPr="0053791C" w:rsidRDefault="00B902D0" w:rsidP="00565205">
      <w:pPr>
        <w:pStyle w:val="ListParagraph1"/>
        <w:numPr>
          <w:ilvl w:val="0"/>
          <w:numId w:val="2"/>
        </w:numPr>
        <w:spacing w:after="120" w:line="252" w:lineRule="auto"/>
        <w:ind w:left="714" w:hanging="357"/>
        <w:jc w:val="both"/>
        <w:rPr>
          <w:rFonts w:cs="Calibri"/>
        </w:rPr>
      </w:pPr>
      <w:r w:rsidRPr="0053791C">
        <w:rPr>
          <w:rFonts w:cs="Calibri"/>
          <w:i/>
        </w:rPr>
        <w:t>Accessibility</w:t>
      </w:r>
      <w:r w:rsidRPr="0053791C">
        <w:rPr>
          <w:rFonts w:cs="Calibri"/>
        </w:rPr>
        <w:t>: the medicine should be distributed through reachable channels, without geographical or time barriers.</w:t>
      </w:r>
      <w:r w:rsidRPr="0053791C">
        <w:rPr>
          <w:rStyle w:val="EndnoteReference"/>
          <w:rFonts w:cs="Calibri"/>
        </w:rPr>
        <w:endnoteReference w:id="1"/>
      </w:r>
    </w:p>
    <w:p w14:paraId="2EB5FFDA" w14:textId="2E9C9666" w:rsidR="005219F7" w:rsidRPr="00782FC3" w:rsidRDefault="00A106BB" w:rsidP="005219F7">
      <w:pPr>
        <w:spacing w:after="120" w:line="276" w:lineRule="auto"/>
        <w:jc w:val="both"/>
        <w:rPr>
          <w:rFonts w:cs="Calibri"/>
        </w:rPr>
      </w:pPr>
      <w:r w:rsidRPr="00A106BB">
        <w:rPr>
          <w:rFonts w:cs="Calibri"/>
        </w:rPr>
        <w:t>Inequity in access is right and a major cause of health inequalities.</w:t>
      </w:r>
      <w:r w:rsidRPr="00782FC3">
        <w:rPr>
          <w:rStyle w:val="EndnoteReference"/>
          <w:rFonts w:cs="Calibri"/>
        </w:rPr>
        <w:endnoteReference w:id="2"/>
      </w:r>
      <w:r w:rsidRPr="00A106BB">
        <w:rPr>
          <w:rFonts w:cs="Calibri"/>
          <w:vertAlign w:val="superscript"/>
        </w:rPr>
        <w:t>,</w:t>
      </w:r>
      <w:r w:rsidRPr="00782FC3">
        <w:rPr>
          <w:rStyle w:val="EndnoteReference"/>
          <w:rFonts w:cs="Calibri"/>
        </w:rPr>
        <w:endnoteReference w:id="3"/>
      </w:r>
      <w:r w:rsidRPr="00A106BB">
        <w:rPr>
          <w:rFonts w:cs="Calibri"/>
          <w:vertAlign w:val="superscript"/>
        </w:rPr>
        <w:t>,</w:t>
      </w:r>
      <w:r w:rsidRPr="00782FC3">
        <w:rPr>
          <w:rStyle w:val="EndnoteReference"/>
          <w:rFonts w:cs="Calibri"/>
        </w:rPr>
        <w:endnoteReference w:id="4"/>
      </w:r>
      <w:r w:rsidRPr="00A106BB">
        <w:rPr>
          <w:rFonts w:cs="Calibri"/>
        </w:rPr>
        <w:t xml:space="preserve"> </w:t>
      </w:r>
      <w:r w:rsidR="005219F7" w:rsidRPr="00782FC3">
        <w:rPr>
          <w:rFonts w:eastAsia="Times New Roman" w:cs="Arial"/>
          <w:szCs w:val="24"/>
        </w:rPr>
        <w:t>Unacceptable disparities in patients’ access to medicines persist</w:t>
      </w:r>
      <w:r>
        <w:rPr>
          <w:rFonts w:eastAsia="Times New Roman" w:cs="Arial"/>
          <w:szCs w:val="24"/>
        </w:rPr>
        <w:t>; and</w:t>
      </w:r>
      <w:r w:rsidR="00745AE9" w:rsidRPr="00782FC3">
        <w:t xml:space="preserve"> it can take up to 10 years for patients to access some medicines in some parts of Europe</w:t>
      </w:r>
      <w:r w:rsidR="005219F7" w:rsidRPr="00782FC3">
        <w:t xml:space="preserve"> after  marketing authorisation</w:t>
      </w:r>
      <w:r>
        <w:t>.</w:t>
      </w:r>
      <w:r w:rsidR="00745AE9" w:rsidRPr="00782FC3">
        <w:t xml:space="preserve"> </w:t>
      </w:r>
      <w:r w:rsidR="005219F7" w:rsidRPr="00782FC3">
        <w:rPr>
          <w:rFonts w:cs="Calibri"/>
        </w:rPr>
        <w:t xml:space="preserve">Inequalities in access are contrary to the </w:t>
      </w:r>
      <w:r>
        <w:rPr>
          <w:rFonts w:cs="Calibri"/>
        </w:rPr>
        <w:t xml:space="preserve">EU </w:t>
      </w:r>
      <w:r w:rsidR="005219F7" w:rsidRPr="00782FC3">
        <w:rPr>
          <w:rFonts w:cs="Calibri"/>
        </w:rPr>
        <w:t xml:space="preserve">Charter of Fundamental Rights, the EU </w:t>
      </w:r>
      <w:proofErr w:type="spellStart"/>
      <w:r w:rsidR="005219F7" w:rsidRPr="00782FC3">
        <w:rPr>
          <w:rFonts w:cs="Calibri"/>
        </w:rPr>
        <w:t>Treat</w:t>
      </w:r>
      <w:r>
        <w:rPr>
          <w:rFonts w:cs="Calibri"/>
        </w:rPr>
        <w:t>es</w:t>
      </w:r>
      <w:proofErr w:type="spellEnd"/>
      <w:r>
        <w:rPr>
          <w:rFonts w:cs="Calibri"/>
        </w:rPr>
        <w:t xml:space="preserve">’ </w:t>
      </w:r>
      <w:r w:rsidR="005219F7" w:rsidRPr="00782FC3">
        <w:rPr>
          <w:rFonts w:cs="Calibri"/>
        </w:rPr>
        <w:t>commitment to the principle of well-being</w:t>
      </w:r>
      <w:r w:rsidR="005219F7" w:rsidRPr="00782FC3">
        <w:rPr>
          <w:rStyle w:val="EndnoteReference"/>
          <w:rFonts w:cs="Calibri"/>
        </w:rPr>
        <w:endnoteReference w:id="5"/>
      </w:r>
      <w:r w:rsidR="005219F7" w:rsidRPr="00782FC3">
        <w:rPr>
          <w:rFonts w:cs="Calibri"/>
        </w:rPr>
        <w:t xml:space="preserve"> and to the fundamental European values of equity, solidarity and good quality in healthcare.</w:t>
      </w:r>
      <w:r w:rsidR="005219F7" w:rsidRPr="00782FC3">
        <w:rPr>
          <w:rStyle w:val="EndnoteReference"/>
          <w:rFonts w:cs="Calibri"/>
        </w:rPr>
        <w:endnoteReference w:id="6"/>
      </w:r>
      <w:r w:rsidR="005219F7" w:rsidRPr="00782FC3">
        <w:rPr>
          <w:rFonts w:cs="Calibri"/>
        </w:rPr>
        <w:t xml:space="preserve">  </w:t>
      </w:r>
    </w:p>
    <w:p w14:paraId="1D42B12A" w14:textId="3A78C870" w:rsidR="008D614A" w:rsidRPr="00D51850" w:rsidRDefault="005219F7" w:rsidP="0070563B">
      <w:pPr>
        <w:spacing w:after="120" w:line="276" w:lineRule="auto"/>
        <w:jc w:val="both"/>
        <w:rPr>
          <w:rFonts w:cs="Calibri"/>
          <w:color w:val="0F243E" w:themeColor="text2" w:themeShade="80"/>
        </w:rPr>
      </w:pPr>
      <w:r w:rsidRPr="00D51850">
        <w:rPr>
          <w:rFonts w:cs="Calibri"/>
          <w:color w:val="0F243E" w:themeColor="text2" w:themeShade="80"/>
        </w:rPr>
        <w:t xml:space="preserve">EU </w:t>
      </w:r>
      <w:r w:rsidR="00B902D0" w:rsidRPr="00D51850">
        <w:rPr>
          <w:rFonts w:cs="Calibri"/>
          <w:color w:val="0F243E" w:themeColor="text2" w:themeShade="80"/>
        </w:rPr>
        <w:t xml:space="preserve">Member States have committed to the </w:t>
      </w:r>
      <w:r w:rsidR="00B902D0" w:rsidRPr="00D51850">
        <w:rPr>
          <w:rFonts w:cs="Calibri"/>
          <w:b/>
          <w:color w:val="0F243E" w:themeColor="text2" w:themeShade="80"/>
        </w:rPr>
        <w:t>UN</w:t>
      </w:r>
      <w:r w:rsidR="005C6697" w:rsidRPr="00D51850">
        <w:rPr>
          <w:rFonts w:cs="Calibri"/>
          <w:b/>
          <w:color w:val="0F243E" w:themeColor="text2" w:themeShade="80"/>
        </w:rPr>
        <w:t xml:space="preserve"> Sustainable Development Goals</w:t>
      </w:r>
      <w:r w:rsidR="005C6697" w:rsidRPr="00D51850">
        <w:rPr>
          <w:rFonts w:cs="Calibri"/>
          <w:color w:val="0F243E" w:themeColor="text2" w:themeShade="80"/>
        </w:rPr>
        <w:t xml:space="preserve">. </w:t>
      </w:r>
      <w:r w:rsidR="00F51EDE" w:rsidRPr="00D51850">
        <w:rPr>
          <w:rFonts w:cs="Calibri"/>
          <w:color w:val="0F243E" w:themeColor="text2" w:themeShade="80"/>
        </w:rPr>
        <w:t xml:space="preserve">The health targets under </w:t>
      </w:r>
      <w:r w:rsidR="005C6697" w:rsidRPr="00D51850">
        <w:rPr>
          <w:rFonts w:cs="Calibri"/>
          <w:color w:val="0F243E" w:themeColor="text2" w:themeShade="80"/>
        </w:rPr>
        <w:t>Goal 3</w:t>
      </w:r>
      <w:r w:rsidR="00F51EDE" w:rsidRPr="00D51850">
        <w:rPr>
          <w:rFonts w:cs="Calibri"/>
          <w:color w:val="0F243E" w:themeColor="text2" w:themeShade="80"/>
        </w:rPr>
        <w:t>,</w:t>
      </w:r>
      <w:r w:rsidR="005C6697" w:rsidRPr="00D51850">
        <w:rPr>
          <w:rFonts w:cs="Calibri"/>
          <w:color w:val="0F243E" w:themeColor="text2" w:themeShade="80"/>
        </w:rPr>
        <w:t xml:space="preserve"> </w:t>
      </w:r>
      <w:r w:rsidR="00F51EDE" w:rsidRPr="00D51850">
        <w:rPr>
          <w:rFonts w:cs="Calibri"/>
          <w:color w:val="0F243E" w:themeColor="text2" w:themeShade="80"/>
        </w:rPr>
        <w:t xml:space="preserve">“Ensure healthy lives and promote wellbeing for all at all ages,” </w:t>
      </w:r>
      <w:r w:rsidR="005C6697" w:rsidRPr="00D51850">
        <w:rPr>
          <w:rFonts w:cs="Calibri"/>
          <w:color w:val="0F243E" w:themeColor="text2" w:themeShade="80"/>
        </w:rPr>
        <w:t xml:space="preserve">calls for </w:t>
      </w:r>
      <w:r w:rsidR="00F51EDE" w:rsidRPr="00D51850">
        <w:rPr>
          <w:rFonts w:eastAsia="Times New Roman" w:cs="Arial"/>
          <w:color w:val="0F243E" w:themeColor="text2" w:themeShade="80"/>
          <w:szCs w:val="24"/>
        </w:rPr>
        <w:t>universal health coverage</w:t>
      </w:r>
      <w:r w:rsidR="005C6697" w:rsidRPr="00D51850">
        <w:rPr>
          <w:rFonts w:eastAsia="Times New Roman" w:cs="Arial"/>
          <w:color w:val="0F243E" w:themeColor="text2" w:themeShade="80"/>
          <w:szCs w:val="24"/>
        </w:rPr>
        <w:t xml:space="preserve"> including </w:t>
      </w:r>
      <w:r w:rsidR="00B902D0" w:rsidRPr="00D51850">
        <w:rPr>
          <w:rFonts w:eastAsia="Times New Roman" w:cs="Arial"/>
          <w:color w:val="0F243E" w:themeColor="text2" w:themeShade="80"/>
          <w:szCs w:val="24"/>
        </w:rPr>
        <w:t>financial risk protection, access to quality essential health-care services and access to safe, effective, quality and affordable essential medicines and vaccines for all by 2030.</w:t>
      </w:r>
      <w:r w:rsidR="00F51EDE" w:rsidRPr="00D51850">
        <w:rPr>
          <w:rStyle w:val="EndnoteReference"/>
          <w:rFonts w:eastAsia="Times New Roman" w:cs="Arial"/>
          <w:color w:val="0F243E" w:themeColor="text2" w:themeShade="80"/>
          <w:szCs w:val="24"/>
        </w:rPr>
        <w:endnoteReference w:id="7"/>
      </w:r>
      <w:r w:rsidR="00B902D0" w:rsidRPr="00D51850">
        <w:rPr>
          <w:rFonts w:eastAsia="Times New Roman" w:cs="Arial"/>
          <w:color w:val="0F243E" w:themeColor="text2" w:themeShade="80"/>
          <w:szCs w:val="24"/>
        </w:rPr>
        <w:t xml:space="preserve"> </w:t>
      </w:r>
      <w:r w:rsidRPr="00D51850">
        <w:rPr>
          <w:rFonts w:eastAsia="Times New Roman" w:cs="Arial"/>
          <w:color w:val="0F243E" w:themeColor="text2" w:themeShade="80"/>
          <w:szCs w:val="24"/>
        </w:rPr>
        <w:t xml:space="preserve">But the healthcare systems of even wealthy Member States are struggling to accommodate the cost of some new medicines. </w:t>
      </w:r>
      <w:r w:rsidR="008D614A" w:rsidRPr="00D51850">
        <w:rPr>
          <w:rFonts w:cs="Calibri"/>
          <w:color w:val="0F243E" w:themeColor="text2" w:themeShade="80"/>
        </w:rPr>
        <w:t xml:space="preserve">Since the publication of EPF’s paper </w:t>
      </w:r>
      <w:r w:rsidRPr="00D51850">
        <w:rPr>
          <w:rFonts w:cs="Calibri"/>
          <w:color w:val="0F243E" w:themeColor="text2" w:themeShade="80"/>
        </w:rPr>
        <w:t>in</w:t>
      </w:r>
      <w:r w:rsidR="008D614A" w:rsidRPr="00D51850">
        <w:rPr>
          <w:rFonts w:cs="Calibri"/>
          <w:color w:val="0F243E" w:themeColor="text2" w:themeShade="80"/>
        </w:rPr>
        <w:t xml:space="preserve"> 2016, prices </w:t>
      </w:r>
      <w:r w:rsidRPr="00D51850">
        <w:rPr>
          <w:rFonts w:cs="Calibri"/>
          <w:color w:val="0F243E" w:themeColor="text2" w:themeShade="80"/>
        </w:rPr>
        <w:t xml:space="preserve">of medicines </w:t>
      </w:r>
      <w:r w:rsidR="008D614A" w:rsidRPr="00D51850">
        <w:rPr>
          <w:rFonts w:cs="Calibri"/>
          <w:color w:val="0F243E" w:themeColor="text2" w:themeShade="80"/>
        </w:rPr>
        <w:t>have continued to attract attention</w:t>
      </w:r>
      <w:r w:rsidR="001E4A6A" w:rsidRPr="00D51850">
        <w:rPr>
          <w:rFonts w:cs="Calibri"/>
          <w:color w:val="0F243E" w:themeColor="text2" w:themeShade="80"/>
        </w:rPr>
        <w:t xml:space="preserve">, in </w:t>
      </w:r>
      <w:r w:rsidR="008D614A" w:rsidRPr="00D51850">
        <w:rPr>
          <w:rFonts w:cs="Calibri"/>
          <w:color w:val="0F243E" w:themeColor="text2" w:themeShade="80"/>
        </w:rPr>
        <w:t xml:space="preserve">the media, </w:t>
      </w:r>
      <w:r w:rsidR="001E4A6A" w:rsidRPr="00D51850">
        <w:rPr>
          <w:rFonts w:cs="Calibri"/>
          <w:color w:val="0F243E" w:themeColor="text2" w:themeShade="80"/>
        </w:rPr>
        <w:t xml:space="preserve">in politics and society in general. </w:t>
      </w:r>
      <w:r w:rsidR="008D614A" w:rsidRPr="00D51850">
        <w:rPr>
          <w:rFonts w:cs="Calibri"/>
          <w:color w:val="0F243E" w:themeColor="text2" w:themeShade="80"/>
        </w:rPr>
        <w:t xml:space="preserve">They have become a high priority issue on the political agendas of EU Member States and of the European Union itself. </w:t>
      </w:r>
    </w:p>
    <w:p w14:paraId="362E3A4F" w14:textId="77777777" w:rsidR="00427055" w:rsidRPr="00D51850" w:rsidRDefault="008D614A" w:rsidP="00427055">
      <w:pPr>
        <w:spacing w:after="120" w:line="276" w:lineRule="auto"/>
        <w:jc w:val="both"/>
        <w:rPr>
          <w:color w:val="0F243E" w:themeColor="text2" w:themeShade="80"/>
          <w:sz w:val="20"/>
        </w:rPr>
      </w:pPr>
      <w:r w:rsidRPr="00D51850">
        <w:rPr>
          <w:rFonts w:cs="Calibri"/>
          <w:b/>
          <w:color w:val="0F243E" w:themeColor="text2" w:themeShade="80"/>
        </w:rPr>
        <w:t xml:space="preserve">There is now </w:t>
      </w:r>
      <w:r w:rsidR="00B902D0" w:rsidRPr="00D51850">
        <w:rPr>
          <w:b/>
          <w:color w:val="0F243E" w:themeColor="text2" w:themeShade="80"/>
        </w:rPr>
        <w:t xml:space="preserve">an urgent need to identify effective </w:t>
      </w:r>
      <w:r w:rsidRPr="00D51850">
        <w:rPr>
          <w:b/>
          <w:color w:val="0F243E" w:themeColor="text2" w:themeShade="80"/>
        </w:rPr>
        <w:t xml:space="preserve">solutions at EU level, </w:t>
      </w:r>
      <w:r w:rsidR="00B902D0" w:rsidRPr="00D51850">
        <w:rPr>
          <w:b/>
          <w:color w:val="0F243E" w:themeColor="text2" w:themeShade="80"/>
        </w:rPr>
        <w:t xml:space="preserve">and to </w:t>
      </w:r>
      <w:r w:rsidRPr="00D51850">
        <w:rPr>
          <w:b/>
          <w:color w:val="0F243E" w:themeColor="text2" w:themeShade="80"/>
        </w:rPr>
        <w:t xml:space="preserve">take concrete steps to </w:t>
      </w:r>
      <w:r w:rsidR="00B902D0" w:rsidRPr="00D51850">
        <w:rPr>
          <w:b/>
          <w:color w:val="0F243E" w:themeColor="text2" w:themeShade="80"/>
        </w:rPr>
        <w:t>ensure that all patients across Europe have access to high-quality, affordable treatments</w:t>
      </w:r>
      <w:r w:rsidRPr="00D51850">
        <w:rPr>
          <w:b/>
          <w:color w:val="0F243E" w:themeColor="text2" w:themeShade="80"/>
        </w:rPr>
        <w:t xml:space="preserve"> based on their need, not means</w:t>
      </w:r>
      <w:r w:rsidR="00B902D0" w:rsidRPr="00D51850">
        <w:rPr>
          <w:b/>
          <w:color w:val="0F243E" w:themeColor="text2" w:themeShade="80"/>
        </w:rPr>
        <w:t>.</w:t>
      </w:r>
      <w:r w:rsidRPr="00D51850">
        <w:rPr>
          <w:color w:val="0F243E" w:themeColor="text2" w:themeShade="80"/>
        </w:rPr>
        <w:t xml:space="preserve"> </w:t>
      </w:r>
      <w:r w:rsidR="00427055" w:rsidRPr="00D51850">
        <w:rPr>
          <w:rFonts w:cs="Calibri"/>
          <w:color w:val="0F243E" w:themeColor="text2" w:themeShade="80"/>
          <w:szCs w:val="24"/>
        </w:rPr>
        <w:t xml:space="preserve">In EPF’s view it is not the task of patients patient organisations to “make” a solution for the access problem. Political and practical solutions are for our governments and for the industry to devise. However, as a healthcare stakeholder representing the “end users” and beneficiaries of medicines the patient community has a role and a responsibility. The patient </w:t>
      </w:r>
      <w:r w:rsidR="00427055" w:rsidRPr="00D51850">
        <w:rPr>
          <w:rFonts w:cs="Calibri"/>
          <w:color w:val="0F243E" w:themeColor="text2" w:themeShade="80"/>
          <w:szCs w:val="24"/>
        </w:rPr>
        <w:lastRenderedPageBreak/>
        <w:t xml:space="preserve">perspective is needed in defining the problems and gaps, defining the needs and priorities, and ensuring our voice is heard in policy advocacy. </w:t>
      </w:r>
    </w:p>
    <w:p w14:paraId="0229E0DC" w14:textId="00F35C90" w:rsidR="00421B64" w:rsidRDefault="001E4A6A" w:rsidP="00D352C9">
      <w:pPr>
        <w:spacing w:after="240" w:line="276" w:lineRule="auto"/>
        <w:jc w:val="both"/>
        <w:rPr>
          <w:color w:val="0F243E" w:themeColor="text2" w:themeShade="80"/>
        </w:rPr>
      </w:pPr>
      <w:r w:rsidRPr="00D51850">
        <w:rPr>
          <w:color w:val="0F243E" w:themeColor="text2" w:themeShade="80"/>
        </w:rPr>
        <w:t>Our position starts from the premise that</w:t>
      </w:r>
      <w:r w:rsidR="00D352C9" w:rsidRPr="00D51850">
        <w:rPr>
          <w:color w:val="0F243E" w:themeColor="text2" w:themeShade="80"/>
        </w:rPr>
        <w:t xml:space="preserve"> health is a fundamental right and a critical investment in the well-being, economic development and cohesiveness of society. Medicines are not consumer goods; patients are not merely consumers; and patients’ lives cannot be measured in purely economic terms. Medicines are an essential a public good and a core element of health policy.</w:t>
      </w:r>
    </w:p>
    <w:p w14:paraId="59CEFC9A" w14:textId="2E89C916" w:rsidR="00103D7F" w:rsidRPr="00103D7F" w:rsidRDefault="00103D7F" w:rsidP="00D352C9">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7392AF6B" w14:textId="0B9FA31E" w:rsidR="00254B45" w:rsidRPr="00254B45" w:rsidRDefault="008F7A15" w:rsidP="00254B45">
      <w:pPr>
        <w:pStyle w:val="Heading2"/>
        <w:numPr>
          <w:ilvl w:val="1"/>
          <w:numId w:val="0"/>
        </w:numPr>
        <w:spacing w:before="120" w:after="120" w:line="240" w:lineRule="auto"/>
        <w:rPr>
          <w:caps w:val="0"/>
          <w:color w:val="365F90"/>
          <w:sz w:val="32"/>
          <w:szCs w:val="30"/>
        </w:rPr>
      </w:pPr>
      <w:bookmarkStart w:id="6" w:name="_Toc511039278"/>
      <w:r>
        <w:rPr>
          <w:caps w:val="0"/>
          <w:color w:val="C00000"/>
          <w:sz w:val="32"/>
          <w:szCs w:val="30"/>
        </w:rPr>
        <w:t xml:space="preserve">Updated </w:t>
      </w:r>
      <w:r w:rsidR="00254B45" w:rsidRPr="0053791C">
        <w:rPr>
          <w:caps w:val="0"/>
          <w:color w:val="C00000"/>
          <w:sz w:val="32"/>
          <w:szCs w:val="30"/>
        </w:rPr>
        <w:t xml:space="preserve">chapter: </w:t>
      </w:r>
      <w:r w:rsidRPr="008F7A15">
        <w:rPr>
          <w:caps w:val="0"/>
          <w:color w:val="365F90"/>
          <w:sz w:val="32"/>
          <w:szCs w:val="30"/>
        </w:rPr>
        <w:t>What</w:t>
      </w:r>
      <w:r>
        <w:rPr>
          <w:caps w:val="0"/>
          <w:color w:val="365F90"/>
          <w:sz w:val="32"/>
          <w:szCs w:val="30"/>
        </w:rPr>
        <w:t xml:space="preserve"> is driving the c</w:t>
      </w:r>
      <w:r w:rsidR="00254B45" w:rsidRPr="00254B45">
        <w:rPr>
          <w:caps w:val="0"/>
          <w:color w:val="365F90"/>
          <w:sz w:val="32"/>
          <w:szCs w:val="30"/>
        </w:rPr>
        <w:t>ost of medicines</w:t>
      </w:r>
      <w:bookmarkEnd w:id="6"/>
      <w:r w:rsidR="00254B45" w:rsidRPr="00254B45">
        <w:rPr>
          <w:caps w:val="0"/>
          <w:color w:val="365F90"/>
          <w:sz w:val="32"/>
          <w:szCs w:val="30"/>
        </w:rPr>
        <w:t xml:space="preserve"> </w:t>
      </w:r>
    </w:p>
    <w:p w14:paraId="72FC9831" w14:textId="4D4F08F9" w:rsidR="00254B45" w:rsidRPr="00782FC3" w:rsidRDefault="000A2B45" w:rsidP="00782FC3">
      <w:pPr>
        <w:spacing w:after="120" w:line="276" w:lineRule="auto"/>
        <w:jc w:val="both"/>
        <w:rPr>
          <w:rFonts w:cs="Arial"/>
          <w:szCs w:val="24"/>
        </w:rPr>
      </w:pPr>
      <w:r w:rsidRPr="00782FC3">
        <w:rPr>
          <w:rFonts w:cs="Arial"/>
          <w:szCs w:val="24"/>
        </w:rPr>
        <w:t xml:space="preserve">The </w:t>
      </w:r>
      <w:r w:rsidR="00254B45" w:rsidRPr="00782FC3">
        <w:rPr>
          <w:rFonts w:cs="Arial"/>
          <w:szCs w:val="24"/>
        </w:rPr>
        <w:t>industrial research and production process of new medicines</w:t>
      </w:r>
      <w:r w:rsidRPr="00782FC3">
        <w:rPr>
          <w:rFonts w:cs="Arial"/>
          <w:szCs w:val="24"/>
        </w:rPr>
        <w:t xml:space="preserve"> is changing</w:t>
      </w:r>
      <w:r w:rsidR="00254B45" w:rsidRPr="00782FC3">
        <w:rPr>
          <w:rFonts w:cs="Arial"/>
          <w:szCs w:val="24"/>
        </w:rPr>
        <w:t xml:space="preserve">. On the one hand, </w:t>
      </w:r>
      <w:r w:rsidRPr="00782FC3">
        <w:rPr>
          <w:rFonts w:cs="Arial"/>
          <w:szCs w:val="24"/>
        </w:rPr>
        <w:t xml:space="preserve">many </w:t>
      </w:r>
      <w:r w:rsidR="00254B45" w:rsidRPr="00782FC3">
        <w:rPr>
          <w:rFonts w:cs="Arial"/>
          <w:szCs w:val="24"/>
        </w:rPr>
        <w:t>so-called “blockbuster medicines ” have reached or are soon reaching the end of</w:t>
      </w:r>
      <w:r w:rsidR="00D44523">
        <w:rPr>
          <w:rFonts w:cs="Arial"/>
          <w:szCs w:val="24"/>
        </w:rPr>
        <w:t xml:space="preserve"> exclusivity</w:t>
      </w:r>
      <w:r w:rsidR="00254B45" w:rsidRPr="00782FC3">
        <w:rPr>
          <w:rFonts w:cs="Arial"/>
          <w:szCs w:val="24"/>
        </w:rPr>
        <w:t xml:space="preserve"> </w:t>
      </w:r>
      <w:r w:rsidRPr="00782FC3">
        <w:rPr>
          <w:rFonts w:cs="Arial"/>
          <w:szCs w:val="24"/>
        </w:rPr>
        <w:t xml:space="preserve">so </w:t>
      </w:r>
      <w:r w:rsidR="00254B45" w:rsidRPr="00782FC3">
        <w:rPr>
          <w:rFonts w:cs="Arial"/>
          <w:szCs w:val="24"/>
        </w:rPr>
        <w:t>there is a</w:t>
      </w:r>
      <w:r w:rsidR="00D44523">
        <w:rPr>
          <w:rFonts w:cs="Arial"/>
          <w:szCs w:val="24"/>
        </w:rPr>
        <w:t>n</w:t>
      </w:r>
      <w:r w:rsidR="00254B45" w:rsidRPr="00782FC3">
        <w:rPr>
          <w:rFonts w:cs="Arial"/>
          <w:szCs w:val="24"/>
        </w:rPr>
        <w:t xml:space="preserve"> opportunity for generic </w:t>
      </w:r>
      <w:r w:rsidR="00D44523">
        <w:rPr>
          <w:rFonts w:cs="Arial"/>
          <w:szCs w:val="24"/>
        </w:rPr>
        <w:t>versions to become available</w:t>
      </w:r>
      <w:r w:rsidR="00254B45" w:rsidRPr="00782FC3">
        <w:rPr>
          <w:rFonts w:cs="Arial"/>
          <w:szCs w:val="24"/>
        </w:rPr>
        <w:t xml:space="preserve">. This </w:t>
      </w:r>
      <w:r w:rsidR="00D44523">
        <w:rPr>
          <w:rFonts w:cs="Arial"/>
          <w:szCs w:val="24"/>
        </w:rPr>
        <w:t xml:space="preserve">is </w:t>
      </w:r>
      <w:r w:rsidR="00254B45" w:rsidRPr="00782FC3">
        <w:rPr>
          <w:rFonts w:cs="Arial"/>
          <w:szCs w:val="24"/>
        </w:rPr>
        <w:t>good news for patients</w:t>
      </w:r>
      <w:r w:rsidR="00D44523">
        <w:rPr>
          <w:rFonts w:cs="Arial"/>
          <w:szCs w:val="24"/>
        </w:rPr>
        <w:t>,</w:t>
      </w:r>
      <w:r w:rsidR="00254B45" w:rsidRPr="00782FC3">
        <w:rPr>
          <w:rFonts w:cs="Arial"/>
          <w:szCs w:val="24"/>
        </w:rPr>
        <w:t xml:space="preserve"> as generics entry can considerably lower prices paid by healthcare systems.</w:t>
      </w:r>
      <w:r w:rsidR="00254B45" w:rsidRPr="00782FC3">
        <w:rPr>
          <w:rStyle w:val="EndnoteReference"/>
          <w:rFonts w:cs="Arial"/>
          <w:szCs w:val="24"/>
        </w:rPr>
        <w:endnoteReference w:id="8"/>
      </w:r>
      <w:r w:rsidR="00254B45" w:rsidRPr="00782FC3">
        <w:rPr>
          <w:rFonts w:cs="Arial"/>
          <w:szCs w:val="24"/>
        </w:rPr>
        <w:t xml:space="preserve"> On the other hand, scientific knowledge is advancing fast. New, potentially ground-breaking, discoveries are being made,</w:t>
      </w:r>
      <w:r w:rsidRPr="00782FC3">
        <w:rPr>
          <w:rFonts w:cs="Arial"/>
          <w:szCs w:val="24"/>
        </w:rPr>
        <w:t xml:space="preserve"> such as </w:t>
      </w:r>
      <w:r w:rsidR="00254B45" w:rsidRPr="00782FC3">
        <w:rPr>
          <w:rFonts w:cs="Arial"/>
          <w:szCs w:val="24"/>
        </w:rPr>
        <w:t>cures from chronic infection</w:t>
      </w:r>
      <w:r w:rsidRPr="00782FC3">
        <w:rPr>
          <w:rFonts w:cs="Arial"/>
          <w:szCs w:val="24"/>
        </w:rPr>
        <w:t xml:space="preserve">, </w:t>
      </w:r>
      <w:r w:rsidRPr="00D51850">
        <w:rPr>
          <w:rFonts w:cs="Arial"/>
          <w:color w:val="0F243E" w:themeColor="text2" w:themeShade="80"/>
          <w:szCs w:val="24"/>
        </w:rPr>
        <w:t xml:space="preserve">advances in the fields of </w:t>
      </w:r>
      <w:proofErr w:type="spellStart"/>
      <w:r w:rsidRPr="00D51850">
        <w:rPr>
          <w:rFonts w:cs="Arial"/>
          <w:color w:val="0F243E" w:themeColor="text2" w:themeShade="80"/>
          <w:szCs w:val="24"/>
        </w:rPr>
        <w:t>immuno</w:t>
      </w:r>
      <w:proofErr w:type="spellEnd"/>
      <w:r w:rsidRPr="00D51850">
        <w:rPr>
          <w:rFonts w:cs="Arial"/>
          <w:color w:val="0F243E" w:themeColor="text2" w:themeShade="80"/>
          <w:szCs w:val="24"/>
        </w:rPr>
        <w:t xml:space="preserve">-oncology, </w:t>
      </w:r>
      <w:r w:rsidR="00254B45" w:rsidRPr="00D51850">
        <w:rPr>
          <w:rFonts w:cs="Arial"/>
          <w:color w:val="0F243E" w:themeColor="text2" w:themeShade="80"/>
          <w:szCs w:val="24"/>
        </w:rPr>
        <w:t xml:space="preserve">and in personalised medicine and </w:t>
      </w:r>
      <w:r w:rsidRPr="00D51850">
        <w:rPr>
          <w:rFonts w:cs="Arial"/>
          <w:color w:val="0F243E" w:themeColor="text2" w:themeShade="80"/>
          <w:szCs w:val="24"/>
        </w:rPr>
        <w:t>gene therapies</w:t>
      </w:r>
      <w:r w:rsidR="00870034" w:rsidRPr="00D51850">
        <w:rPr>
          <w:rStyle w:val="EndnoteReference"/>
          <w:rFonts w:cs="Arial"/>
          <w:color w:val="0F243E" w:themeColor="text2" w:themeShade="80"/>
          <w:szCs w:val="24"/>
        </w:rPr>
        <w:endnoteReference w:id="9"/>
      </w:r>
      <w:r w:rsidR="00746459" w:rsidRPr="00D51850">
        <w:rPr>
          <w:rFonts w:cs="Arial"/>
          <w:color w:val="0F243E" w:themeColor="text2" w:themeShade="80"/>
          <w:szCs w:val="24"/>
        </w:rPr>
        <w:t xml:space="preserve"> for example for </w:t>
      </w:r>
      <w:r w:rsidR="00870034" w:rsidRPr="00D51850">
        <w:rPr>
          <w:rFonts w:cs="Arial"/>
          <w:color w:val="0F243E" w:themeColor="text2" w:themeShade="80"/>
          <w:szCs w:val="24"/>
        </w:rPr>
        <w:t>a specific form of blindness, h</w:t>
      </w:r>
      <w:r w:rsidR="00D51850" w:rsidRPr="00D51850">
        <w:rPr>
          <w:rFonts w:cs="Arial"/>
          <w:color w:val="0F243E" w:themeColor="text2" w:themeShade="80"/>
          <w:szCs w:val="24"/>
        </w:rPr>
        <w:t>a</w:t>
      </w:r>
      <w:r w:rsidR="00870034" w:rsidRPr="00D51850">
        <w:rPr>
          <w:rFonts w:cs="Arial"/>
          <w:color w:val="0F243E" w:themeColor="text2" w:themeShade="80"/>
          <w:szCs w:val="24"/>
        </w:rPr>
        <w:t>emophilia, sickle cell disease and muscular dystrophy.</w:t>
      </w:r>
      <w:r w:rsidR="00254B45" w:rsidRPr="00D51850">
        <w:rPr>
          <w:rFonts w:cs="Arial"/>
          <w:color w:val="0F243E" w:themeColor="text2" w:themeShade="80"/>
          <w:szCs w:val="24"/>
        </w:rPr>
        <w:t xml:space="preserve"> </w:t>
      </w:r>
      <w:r w:rsidR="00254B45" w:rsidRPr="00782FC3">
        <w:rPr>
          <w:rFonts w:cs="Arial"/>
          <w:szCs w:val="24"/>
        </w:rPr>
        <w:t>This is also good as it promise</w:t>
      </w:r>
      <w:r w:rsidR="00D44523">
        <w:rPr>
          <w:rFonts w:cs="Arial"/>
          <w:szCs w:val="24"/>
        </w:rPr>
        <w:t>s</w:t>
      </w:r>
      <w:r w:rsidR="00254B45" w:rsidRPr="00782FC3">
        <w:rPr>
          <w:rFonts w:cs="Arial"/>
          <w:szCs w:val="24"/>
        </w:rPr>
        <w:t xml:space="preserve"> more effective and personalised solutions to patients’ needs. Yet, these new treatments are </w:t>
      </w:r>
      <w:r w:rsidRPr="00782FC3">
        <w:rPr>
          <w:rFonts w:cs="Arial"/>
          <w:szCs w:val="24"/>
        </w:rPr>
        <w:t>usually “specialty” and focus</w:t>
      </w:r>
      <w:r w:rsidR="00D44523">
        <w:rPr>
          <w:rFonts w:cs="Arial"/>
          <w:szCs w:val="24"/>
        </w:rPr>
        <w:t>ed</w:t>
      </w:r>
      <w:r w:rsidRPr="00782FC3">
        <w:rPr>
          <w:rFonts w:cs="Arial"/>
          <w:szCs w:val="24"/>
        </w:rPr>
        <w:t xml:space="preserve"> </w:t>
      </w:r>
      <w:r w:rsidR="00D44523">
        <w:rPr>
          <w:rFonts w:cs="Arial"/>
          <w:szCs w:val="24"/>
        </w:rPr>
        <w:t xml:space="preserve">on </w:t>
      </w:r>
      <w:r w:rsidRPr="00782FC3">
        <w:rPr>
          <w:rFonts w:cs="Arial"/>
          <w:szCs w:val="24"/>
        </w:rPr>
        <w:t>differentiated</w:t>
      </w:r>
      <w:r w:rsidR="00D44523">
        <w:rPr>
          <w:rFonts w:cs="Arial"/>
          <w:szCs w:val="24"/>
        </w:rPr>
        <w:t>,</w:t>
      </w:r>
      <w:r w:rsidRPr="00782FC3">
        <w:rPr>
          <w:rFonts w:cs="Arial"/>
          <w:szCs w:val="24"/>
        </w:rPr>
        <w:t xml:space="preserve"> small patient groups. They are </w:t>
      </w:r>
      <w:r w:rsidR="00254B45" w:rsidRPr="00782FC3">
        <w:rPr>
          <w:rFonts w:cs="Arial"/>
          <w:szCs w:val="24"/>
        </w:rPr>
        <w:t>often extremely expensive.</w:t>
      </w:r>
      <w:r w:rsidR="00631FF5">
        <w:rPr>
          <w:rStyle w:val="FootnoteReference"/>
          <w:rFonts w:cs="Arial"/>
          <w:szCs w:val="24"/>
        </w:rPr>
        <w:footnoteReference w:id="2"/>
      </w:r>
      <w:r w:rsidR="00631FF5">
        <w:rPr>
          <w:rStyle w:val="EndnoteReference"/>
          <w:rFonts w:cs="Arial"/>
          <w:szCs w:val="24"/>
        </w:rPr>
        <w:endnoteReference w:id="10"/>
      </w:r>
      <w:r w:rsidR="00254B45" w:rsidRPr="00782FC3">
        <w:rPr>
          <w:rFonts w:cs="Arial"/>
          <w:szCs w:val="24"/>
        </w:rPr>
        <w:t xml:space="preserve"> </w:t>
      </w:r>
      <w:r w:rsidR="00254B45" w:rsidRPr="00782FC3">
        <w:rPr>
          <w:rFonts w:cs="Arial"/>
          <w:b/>
          <w:szCs w:val="24"/>
        </w:rPr>
        <w:t xml:space="preserve">Patients will only benefit </w:t>
      </w:r>
      <w:r w:rsidR="00D44523">
        <w:rPr>
          <w:rFonts w:cs="Arial"/>
          <w:b/>
          <w:szCs w:val="24"/>
        </w:rPr>
        <w:t xml:space="preserve">from </w:t>
      </w:r>
      <w:r w:rsidR="00254B45" w:rsidRPr="00782FC3">
        <w:rPr>
          <w:rFonts w:cs="Arial"/>
          <w:b/>
          <w:szCs w:val="24"/>
        </w:rPr>
        <w:t>new therapies if</w:t>
      </w:r>
      <w:r w:rsidRPr="00782FC3">
        <w:rPr>
          <w:rFonts w:cs="Arial"/>
          <w:b/>
          <w:szCs w:val="24"/>
        </w:rPr>
        <w:t xml:space="preserve"> </w:t>
      </w:r>
      <w:r w:rsidR="00254B45" w:rsidRPr="00782FC3">
        <w:rPr>
          <w:rFonts w:cs="Arial"/>
          <w:b/>
          <w:szCs w:val="24"/>
        </w:rPr>
        <w:t xml:space="preserve">they are accessible </w:t>
      </w:r>
      <w:r w:rsidR="00526CAB" w:rsidRPr="00154A9A">
        <w:rPr>
          <w:rFonts w:cs="Arial"/>
          <w:b/>
          <w:color w:val="244061" w:themeColor="accent1" w:themeShade="80"/>
          <w:szCs w:val="24"/>
        </w:rPr>
        <w:t xml:space="preserve">in a timely manner </w:t>
      </w:r>
      <w:r w:rsidR="00254B45" w:rsidRPr="00782FC3">
        <w:rPr>
          <w:rFonts w:cs="Arial"/>
          <w:b/>
          <w:szCs w:val="24"/>
        </w:rPr>
        <w:t xml:space="preserve">and affordable to all who need them.  </w:t>
      </w:r>
    </w:p>
    <w:p w14:paraId="77E6F58B" w14:textId="2D2B3B3C" w:rsidR="00FB4CC9" w:rsidRPr="00D51850" w:rsidRDefault="00FB4CC9" w:rsidP="00782FC3">
      <w:pPr>
        <w:spacing w:after="120" w:line="276" w:lineRule="auto"/>
        <w:jc w:val="both"/>
        <w:rPr>
          <w:color w:val="0F243E" w:themeColor="text2" w:themeShade="80"/>
        </w:rPr>
      </w:pPr>
      <w:r w:rsidRPr="00D51850">
        <w:rPr>
          <w:color w:val="0F243E" w:themeColor="text2" w:themeShade="80"/>
        </w:rPr>
        <w:t xml:space="preserve">Concerned about the long-term sustainability of their health systems, in 2016 the OECD member countries endorsed a call by the French Ministry of Health for the OECD to provide a Secretariat for an </w:t>
      </w:r>
      <w:r w:rsidRPr="00D51850">
        <w:rPr>
          <w:i/>
          <w:color w:val="0F243E" w:themeColor="text2" w:themeShade="80"/>
        </w:rPr>
        <w:t>international stakeholder dialogue on access to innovative medicines and the sustainability of pharmaceutical spending</w:t>
      </w:r>
      <w:r w:rsidRPr="00D51850">
        <w:rPr>
          <w:color w:val="0F243E" w:themeColor="text2" w:themeShade="80"/>
        </w:rPr>
        <w:t xml:space="preserve">. </w:t>
      </w:r>
      <w:r w:rsidR="009D4420" w:rsidRPr="00D51850">
        <w:rPr>
          <w:color w:val="0F243E" w:themeColor="text2" w:themeShade="80"/>
        </w:rPr>
        <w:t xml:space="preserve">The OECD has referred to a general feeling that there are serious system failures in pharmaceuticals, current incentives are not producing results for society, the quality of innovation is not what it should be, and too many patients do not have access. </w:t>
      </w:r>
      <w:r w:rsidRPr="00D51850">
        <w:rPr>
          <w:color w:val="0F243E" w:themeColor="text2" w:themeShade="80"/>
        </w:rPr>
        <w:t>In early 2017 the OECD published a report, “New Health Technologies: Managing Access, Value and Sustainability”</w:t>
      </w:r>
      <w:r w:rsidRPr="00D51850">
        <w:rPr>
          <w:rStyle w:val="EndnoteReference"/>
          <w:color w:val="0F243E" w:themeColor="text2" w:themeShade="80"/>
        </w:rPr>
        <w:endnoteReference w:id="11"/>
      </w:r>
      <w:r w:rsidRPr="00D51850">
        <w:rPr>
          <w:color w:val="0F243E" w:themeColor="text2" w:themeShade="80"/>
        </w:rPr>
        <w:t xml:space="preserve">, which identified the following trends as contributing to high costs: </w:t>
      </w:r>
    </w:p>
    <w:p w14:paraId="7266C596" w14:textId="1A0C13B9" w:rsidR="00FB4CC9" w:rsidRPr="00D51850" w:rsidRDefault="00FB4CC9" w:rsidP="00FB4CC9">
      <w:pPr>
        <w:pStyle w:val="ListParagraph"/>
        <w:numPr>
          <w:ilvl w:val="0"/>
          <w:numId w:val="5"/>
        </w:numPr>
        <w:spacing w:after="120"/>
        <w:rPr>
          <w:color w:val="0F243E" w:themeColor="text2" w:themeShade="80"/>
        </w:rPr>
      </w:pPr>
      <w:r w:rsidRPr="00D51850">
        <w:rPr>
          <w:color w:val="0F243E" w:themeColor="text2" w:themeShade="80"/>
        </w:rPr>
        <w:t xml:space="preserve">An increase in “specialty” medicines that are very expensive; </w:t>
      </w:r>
      <w:r w:rsidR="00BC1A42" w:rsidRPr="00D51850">
        <w:rPr>
          <w:color w:val="0F243E" w:themeColor="text2" w:themeShade="80"/>
        </w:rPr>
        <w:t xml:space="preserve">they </w:t>
      </w:r>
      <w:r w:rsidRPr="00D51850">
        <w:rPr>
          <w:color w:val="0F243E" w:themeColor="text2" w:themeShade="80"/>
        </w:rPr>
        <w:t xml:space="preserve">account for 30-50% of pharmaceutical spending and are predicted to be main </w:t>
      </w:r>
      <w:r w:rsidR="00BC1A42" w:rsidRPr="00D51850">
        <w:rPr>
          <w:color w:val="0F243E" w:themeColor="text2" w:themeShade="80"/>
        </w:rPr>
        <w:t xml:space="preserve">driver of </w:t>
      </w:r>
      <w:r w:rsidRPr="00D51850">
        <w:rPr>
          <w:color w:val="0F243E" w:themeColor="text2" w:themeShade="80"/>
        </w:rPr>
        <w:t xml:space="preserve">spending growth in future; </w:t>
      </w:r>
    </w:p>
    <w:p w14:paraId="6BB70180" w14:textId="33F43FA3" w:rsidR="00FB4CC9" w:rsidRPr="00D51850" w:rsidRDefault="00FB4CC9" w:rsidP="00FB4CC9">
      <w:pPr>
        <w:pStyle w:val="ListParagraph"/>
        <w:numPr>
          <w:ilvl w:val="0"/>
          <w:numId w:val="5"/>
        </w:numPr>
        <w:spacing w:after="120"/>
        <w:rPr>
          <w:color w:val="0F243E" w:themeColor="text2" w:themeShade="80"/>
        </w:rPr>
      </w:pPr>
      <w:r w:rsidRPr="00D51850">
        <w:rPr>
          <w:color w:val="0F243E" w:themeColor="text2" w:themeShade="80"/>
        </w:rPr>
        <w:t xml:space="preserve">Launch prices have risen sharply, notably in cancer and in orphan drugs; </w:t>
      </w:r>
    </w:p>
    <w:p w14:paraId="66C18EFF" w14:textId="13820350" w:rsidR="00FB4CC9" w:rsidRPr="00D51850" w:rsidRDefault="00FB4CC9" w:rsidP="00FB4CC9">
      <w:pPr>
        <w:pStyle w:val="ListParagraph"/>
        <w:numPr>
          <w:ilvl w:val="0"/>
          <w:numId w:val="5"/>
        </w:numPr>
        <w:spacing w:after="120"/>
        <w:rPr>
          <w:color w:val="0F243E" w:themeColor="text2" w:themeShade="80"/>
        </w:rPr>
      </w:pPr>
      <w:r w:rsidRPr="00D51850">
        <w:rPr>
          <w:color w:val="0F243E" w:themeColor="text2" w:themeShade="80"/>
        </w:rPr>
        <w:t>High prices do not always correspond to high benefits for patients;</w:t>
      </w:r>
    </w:p>
    <w:p w14:paraId="2A97C473" w14:textId="67245855" w:rsidR="00FB4CC9" w:rsidRPr="00D51850" w:rsidRDefault="00FB4CC9" w:rsidP="00FB4CC9">
      <w:pPr>
        <w:pStyle w:val="ListParagraph"/>
        <w:numPr>
          <w:ilvl w:val="0"/>
          <w:numId w:val="5"/>
        </w:numPr>
        <w:spacing w:after="120"/>
        <w:rPr>
          <w:color w:val="0F243E" w:themeColor="text2" w:themeShade="80"/>
        </w:rPr>
      </w:pPr>
      <w:r w:rsidRPr="00D51850">
        <w:rPr>
          <w:color w:val="0F243E" w:themeColor="text2" w:themeShade="80"/>
        </w:rPr>
        <w:t xml:space="preserve">Orphan status is being misused by some companies; </w:t>
      </w:r>
    </w:p>
    <w:p w14:paraId="1B583444" w14:textId="7AEDE9F2" w:rsidR="00FB4CC9" w:rsidRPr="00D51850" w:rsidRDefault="00FB4CC9" w:rsidP="00FB4CC9">
      <w:pPr>
        <w:pStyle w:val="ListParagraph"/>
        <w:numPr>
          <w:ilvl w:val="0"/>
          <w:numId w:val="5"/>
        </w:numPr>
        <w:spacing w:after="120"/>
        <w:rPr>
          <w:color w:val="0F243E" w:themeColor="text2" w:themeShade="80"/>
        </w:rPr>
      </w:pPr>
      <w:r w:rsidRPr="00D51850">
        <w:rPr>
          <w:color w:val="0F243E" w:themeColor="text2" w:themeShade="80"/>
        </w:rPr>
        <w:lastRenderedPageBreak/>
        <w:t>Game-changers: Hepatitis C treatments were a genuine therapeutic breakthrough and were deemed cost-effective on an individual basis – but because of the high number of potential patients to be treated, the usual “value for money” logic does not work in such cases: countries could not afford them a</w:t>
      </w:r>
      <w:r w:rsidR="00D44523" w:rsidRPr="00D51850">
        <w:rPr>
          <w:color w:val="0F243E" w:themeColor="text2" w:themeShade="80"/>
        </w:rPr>
        <w:t>nd patients were denied access – but t</w:t>
      </w:r>
      <w:r w:rsidRPr="00D51850">
        <w:rPr>
          <w:color w:val="0F243E" w:themeColor="text2" w:themeShade="80"/>
        </w:rPr>
        <w:t>he company made back 25 times the initial outlay in R&amp;D in less than two years according to OECD data</w:t>
      </w:r>
      <w:r w:rsidR="00154A9A">
        <w:rPr>
          <w:rStyle w:val="FootnoteReference"/>
          <w:color w:val="0F243E" w:themeColor="text2" w:themeShade="80"/>
        </w:rPr>
        <w:footnoteReference w:id="3"/>
      </w:r>
      <w:r w:rsidRPr="00D51850">
        <w:rPr>
          <w:color w:val="0F243E" w:themeColor="text2" w:themeShade="80"/>
        </w:rPr>
        <w:t xml:space="preserve">; </w:t>
      </w:r>
    </w:p>
    <w:p w14:paraId="21D9C8EE" w14:textId="470501EA" w:rsidR="00FB4CC9" w:rsidRDefault="00FB4CC9" w:rsidP="00FB4CC9">
      <w:pPr>
        <w:pStyle w:val="ListParagraph"/>
        <w:numPr>
          <w:ilvl w:val="0"/>
          <w:numId w:val="5"/>
        </w:numPr>
        <w:spacing w:after="120"/>
        <w:rPr>
          <w:color w:val="0F243E" w:themeColor="text2" w:themeShade="80"/>
        </w:rPr>
      </w:pPr>
      <w:r w:rsidRPr="00D51850">
        <w:rPr>
          <w:color w:val="0F243E" w:themeColor="text2" w:themeShade="80"/>
        </w:rPr>
        <w:t xml:space="preserve">Cases of “price gouging” on repurposed therapies, such as the </w:t>
      </w:r>
      <w:proofErr w:type="spellStart"/>
      <w:r w:rsidRPr="00D51850">
        <w:rPr>
          <w:color w:val="0F243E" w:themeColor="text2" w:themeShade="80"/>
        </w:rPr>
        <w:t>Epipen</w:t>
      </w:r>
      <w:proofErr w:type="spellEnd"/>
      <w:r w:rsidRPr="00D51850">
        <w:rPr>
          <w:color w:val="0F243E" w:themeColor="text2" w:themeShade="80"/>
        </w:rPr>
        <w:t xml:space="preserve"> case</w:t>
      </w:r>
      <w:r w:rsidR="00154A9A">
        <w:rPr>
          <w:color w:val="0F243E" w:themeColor="text2" w:themeShade="80"/>
        </w:rPr>
        <w:t>.</w:t>
      </w:r>
      <w:r w:rsidR="0063266D" w:rsidRPr="00D51850">
        <w:rPr>
          <w:rStyle w:val="EndnoteReference"/>
          <w:color w:val="0F243E" w:themeColor="text2" w:themeShade="80"/>
        </w:rPr>
        <w:endnoteReference w:id="12"/>
      </w:r>
      <w:r w:rsidRPr="00D51850">
        <w:rPr>
          <w:color w:val="0F243E" w:themeColor="text2" w:themeShade="80"/>
        </w:rPr>
        <w:t xml:space="preserve"> </w:t>
      </w:r>
    </w:p>
    <w:p w14:paraId="3E959990" w14:textId="77777777" w:rsidR="00103D7F" w:rsidRDefault="00103D7F" w:rsidP="00103D7F">
      <w:pPr>
        <w:spacing w:after="0" w:line="240" w:lineRule="auto"/>
        <w:jc w:val="both"/>
        <w:rPr>
          <w:b/>
          <w:color w:val="FC0107"/>
        </w:rPr>
      </w:pPr>
    </w:p>
    <w:p w14:paraId="29579352" w14:textId="0C311177"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7FC77756" w14:textId="49A86061" w:rsidR="00E6434B" w:rsidRDefault="005647A5" w:rsidP="00E6434B">
      <w:pPr>
        <w:pStyle w:val="Heading2"/>
        <w:numPr>
          <w:ilvl w:val="1"/>
          <w:numId w:val="0"/>
        </w:numPr>
        <w:spacing w:before="120" w:after="120" w:line="240" w:lineRule="auto"/>
        <w:rPr>
          <w:caps w:val="0"/>
          <w:color w:val="365F90"/>
          <w:sz w:val="32"/>
          <w:szCs w:val="30"/>
        </w:rPr>
      </w:pPr>
      <w:bookmarkStart w:id="7" w:name="_Toc511039279"/>
      <w:r w:rsidRPr="005D1ACB">
        <w:rPr>
          <w:caps w:val="0"/>
          <w:color w:val="C00000"/>
          <w:sz w:val="32"/>
          <w:szCs w:val="30"/>
        </w:rPr>
        <w:t xml:space="preserve">New chapter: </w:t>
      </w:r>
      <w:r w:rsidR="00254B45">
        <w:rPr>
          <w:caps w:val="0"/>
          <w:color w:val="365F90"/>
          <w:sz w:val="32"/>
          <w:szCs w:val="30"/>
        </w:rPr>
        <w:t>Initiatives</w:t>
      </w:r>
      <w:r w:rsidR="00E6434B" w:rsidRPr="00805204">
        <w:rPr>
          <w:caps w:val="0"/>
          <w:color w:val="365F90"/>
          <w:sz w:val="32"/>
          <w:szCs w:val="30"/>
        </w:rPr>
        <w:t xml:space="preserve"> at EU and international level</w:t>
      </w:r>
      <w:bookmarkEnd w:id="7"/>
      <w:r w:rsidR="00E6434B" w:rsidRPr="00E6434B">
        <w:rPr>
          <w:caps w:val="0"/>
          <w:color w:val="365F90"/>
          <w:sz w:val="32"/>
          <w:szCs w:val="30"/>
        </w:rPr>
        <w:t xml:space="preserve"> </w:t>
      </w:r>
    </w:p>
    <w:p w14:paraId="5B865296" w14:textId="05FAD70B" w:rsidR="009D4420" w:rsidRPr="00D51850" w:rsidRDefault="009D4420" w:rsidP="00782FC3">
      <w:pPr>
        <w:jc w:val="both"/>
        <w:rPr>
          <w:color w:val="0F243E" w:themeColor="text2" w:themeShade="80"/>
        </w:rPr>
      </w:pPr>
      <w:r w:rsidRPr="00D51850">
        <w:rPr>
          <w:color w:val="0F243E" w:themeColor="text2" w:themeShade="80"/>
        </w:rPr>
        <w:t>Several initiatives have started at European and international level to look at how pharmaceutical innovation could be improved, medicines made more accessible, and the</w:t>
      </w:r>
      <w:r w:rsidR="005D1ACB" w:rsidRPr="00D51850">
        <w:rPr>
          <w:color w:val="0F243E" w:themeColor="text2" w:themeShade="80"/>
        </w:rPr>
        <w:t xml:space="preserve"> right </w:t>
      </w:r>
      <w:r w:rsidRPr="00D51850">
        <w:rPr>
          <w:color w:val="0F243E" w:themeColor="text2" w:themeShade="80"/>
        </w:rPr>
        <w:t>incentives ensured so that innovation produces results that societies want.</w:t>
      </w:r>
    </w:p>
    <w:p w14:paraId="589A1B32" w14:textId="77777777" w:rsidR="004875C1" w:rsidRPr="0038165E" w:rsidRDefault="004875C1" w:rsidP="0038165E">
      <w:pPr>
        <w:pStyle w:val="Heading2"/>
        <w:numPr>
          <w:ilvl w:val="0"/>
          <w:numId w:val="0"/>
        </w:numPr>
        <w:spacing w:before="120" w:after="120" w:line="240" w:lineRule="auto"/>
        <w:rPr>
          <w:caps w:val="0"/>
          <w:sz w:val="24"/>
        </w:rPr>
      </w:pPr>
      <w:bookmarkStart w:id="8" w:name="_Toc511039280"/>
      <w:r w:rsidRPr="0038165E">
        <w:rPr>
          <w:caps w:val="0"/>
          <w:sz w:val="24"/>
        </w:rPr>
        <w:t>International perspectives: OECD, UN and WHO</w:t>
      </w:r>
      <w:bookmarkEnd w:id="8"/>
      <w:r w:rsidRPr="0038165E">
        <w:rPr>
          <w:caps w:val="0"/>
          <w:sz w:val="24"/>
        </w:rPr>
        <w:t xml:space="preserve"> </w:t>
      </w:r>
    </w:p>
    <w:p w14:paraId="7593FED2" w14:textId="7C45DA6E" w:rsidR="004875C1" w:rsidRPr="00D51850" w:rsidRDefault="004875C1" w:rsidP="004875C1">
      <w:pPr>
        <w:spacing w:after="120" w:line="276" w:lineRule="auto"/>
        <w:jc w:val="both"/>
        <w:rPr>
          <w:color w:val="0F243E" w:themeColor="text2" w:themeShade="80"/>
          <w:szCs w:val="24"/>
        </w:rPr>
      </w:pPr>
      <w:r w:rsidRPr="00D51850">
        <w:rPr>
          <w:color w:val="0F243E" w:themeColor="text2" w:themeShade="80"/>
        </w:rPr>
        <w:t xml:space="preserve">In November 2015, UN Secretary-General Ban Ki-moon convened a </w:t>
      </w:r>
      <w:r w:rsidRPr="00D51850">
        <w:rPr>
          <w:b/>
          <w:color w:val="0F243E" w:themeColor="text2" w:themeShade="80"/>
        </w:rPr>
        <w:t>High-Level Panel on Access to Medicines</w:t>
      </w:r>
      <w:r w:rsidRPr="00D51850">
        <w:rPr>
          <w:rStyle w:val="EndnoteReference"/>
          <w:color w:val="0F243E" w:themeColor="text2" w:themeShade="80"/>
        </w:rPr>
        <w:endnoteReference w:id="13"/>
      </w:r>
      <w:r w:rsidRPr="00D51850">
        <w:rPr>
          <w:color w:val="0F243E" w:themeColor="text2" w:themeShade="80"/>
        </w:rPr>
        <w:t xml:space="preserve"> with the objective “to review and assess proposals and recommend solutions for remedying the policy incoherence between the justifiable rights of inventors, international human rights law, trade rules and public health in the context of health technologies.” The  </w:t>
      </w:r>
      <w:r w:rsidRPr="00D51850">
        <w:rPr>
          <w:i/>
          <w:color w:val="0F243E" w:themeColor="text2" w:themeShade="80"/>
        </w:rPr>
        <w:t>final report</w:t>
      </w:r>
      <w:r w:rsidRPr="00D51850">
        <w:rPr>
          <w:color w:val="0F243E" w:themeColor="text2" w:themeShade="80"/>
        </w:rPr>
        <w:t xml:space="preserve"> of the panel</w:t>
      </w:r>
      <w:r w:rsidRPr="00D51850">
        <w:rPr>
          <w:rStyle w:val="EndnoteReference"/>
          <w:color w:val="0F243E" w:themeColor="text2" w:themeShade="80"/>
          <w:szCs w:val="24"/>
        </w:rPr>
        <w:endnoteReference w:id="14"/>
      </w:r>
      <w:r w:rsidRPr="00D51850">
        <w:rPr>
          <w:color w:val="0F243E" w:themeColor="text2" w:themeShade="80"/>
          <w:szCs w:val="24"/>
        </w:rPr>
        <w:t xml:space="preserve"> presented in June 2016 made rather far-reaching recommendations in three domains, linking them to the implementation of the UN Sustainable Development Goals. These include: </w:t>
      </w:r>
    </w:p>
    <w:p w14:paraId="49A3BB0B" w14:textId="77777777" w:rsidR="004875C1" w:rsidRPr="00D51850" w:rsidRDefault="004875C1" w:rsidP="004875C1">
      <w:pPr>
        <w:pStyle w:val="ListParagraph"/>
        <w:numPr>
          <w:ilvl w:val="1"/>
          <w:numId w:val="8"/>
        </w:numPr>
        <w:spacing w:after="120"/>
        <w:ind w:left="567"/>
        <w:jc w:val="both"/>
        <w:rPr>
          <w:color w:val="0F243E" w:themeColor="text2" w:themeShade="80"/>
          <w:szCs w:val="24"/>
        </w:rPr>
      </w:pPr>
      <w:r w:rsidRPr="00D51850">
        <w:rPr>
          <w:color w:val="0F243E" w:themeColor="text2" w:themeShade="80"/>
          <w:szCs w:val="24"/>
          <w:u w:val="single"/>
        </w:rPr>
        <w:t>Intellectual property</w:t>
      </w:r>
      <w:r w:rsidRPr="00D51850">
        <w:rPr>
          <w:color w:val="0F243E" w:themeColor="text2" w:themeShade="80"/>
          <w:szCs w:val="24"/>
        </w:rPr>
        <w:t>: ensure IP protections do not pose barriers to innovation; use of TRIPS flexibilities where necessary;</w:t>
      </w:r>
      <w:r w:rsidRPr="00D51850">
        <w:rPr>
          <w:rStyle w:val="FootnoteReference"/>
          <w:color w:val="0F243E" w:themeColor="text2" w:themeShade="80"/>
          <w:szCs w:val="24"/>
        </w:rPr>
        <w:footnoteReference w:id="4"/>
      </w:r>
      <w:r w:rsidRPr="00D51850">
        <w:rPr>
          <w:color w:val="0F243E" w:themeColor="text2" w:themeShade="80"/>
          <w:szCs w:val="24"/>
        </w:rPr>
        <w:t xml:space="preserve"> publicly funded research should adhere to </w:t>
      </w:r>
      <w:proofErr w:type="spellStart"/>
      <w:r w:rsidRPr="00D51850">
        <w:rPr>
          <w:color w:val="0F243E" w:themeColor="text2" w:themeShade="80"/>
          <w:szCs w:val="24"/>
        </w:rPr>
        <w:t>conditionalities</w:t>
      </w:r>
      <w:proofErr w:type="spellEnd"/>
      <w:r w:rsidRPr="00D51850">
        <w:rPr>
          <w:color w:val="0F243E" w:themeColor="text2" w:themeShade="80"/>
          <w:szCs w:val="24"/>
        </w:rPr>
        <w:t xml:space="preserve"> such as transparency and return on investment.</w:t>
      </w:r>
    </w:p>
    <w:p w14:paraId="294B7F79" w14:textId="77777777" w:rsidR="004875C1" w:rsidRPr="00D51850" w:rsidRDefault="004875C1" w:rsidP="004875C1">
      <w:pPr>
        <w:pStyle w:val="ListParagraph"/>
        <w:numPr>
          <w:ilvl w:val="1"/>
          <w:numId w:val="8"/>
        </w:numPr>
        <w:spacing w:after="120"/>
        <w:ind w:left="567"/>
        <w:jc w:val="both"/>
        <w:rPr>
          <w:color w:val="0F243E" w:themeColor="text2" w:themeShade="80"/>
          <w:szCs w:val="24"/>
        </w:rPr>
      </w:pPr>
      <w:r w:rsidRPr="00D51850">
        <w:rPr>
          <w:color w:val="0F243E" w:themeColor="text2" w:themeShade="80"/>
          <w:szCs w:val="24"/>
          <w:u w:val="single"/>
        </w:rPr>
        <w:t>Incentives</w:t>
      </w:r>
      <w:r w:rsidRPr="00D51850">
        <w:rPr>
          <w:color w:val="0F243E" w:themeColor="text2" w:themeShade="80"/>
          <w:szCs w:val="24"/>
        </w:rPr>
        <w:t xml:space="preserve">: more public investment in R&amp;D; new and additional models for financing R&amp;D (prizes, one-off grants) should be tested;  governments should negotiate a binding convention on R&amp;D for public health needs, delinking costs of research from end prices; </w:t>
      </w:r>
    </w:p>
    <w:p w14:paraId="5065FCB4" w14:textId="77777777" w:rsidR="004875C1" w:rsidRPr="00D51850" w:rsidRDefault="004875C1" w:rsidP="004875C1">
      <w:pPr>
        <w:pStyle w:val="ListParagraph"/>
        <w:numPr>
          <w:ilvl w:val="1"/>
          <w:numId w:val="8"/>
        </w:numPr>
        <w:spacing w:after="120"/>
        <w:ind w:left="567"/>
        <w:jc w:val="both"/>
        <w:rPr>
          <w:color w:val="0F243E" w:themeColor="text2" w:themeShade="80"/>
          <w:szCs w:val="24"/>
        </w:rPr>
      </w:pPr>
      <w:r w:rsidRPr="00D51850">
        <w:rPr>
          <w:color w:val="0F243E" w:themeColor="text2" w:themeShade="80"/>
          <w:szCs w:val="24"/>
          <w:u w:val="single"/>
        </w:rPr>
        <w:t>Governance</w:t>
      </w:r>
      <w:r w:rsidRPr="00D51850">
        <w:rPr>
          <w:color w:val="0F243E" w:themeColor="text2" w:themeShade="80"/>
          <w:szCs w:val="24"/>
        </w:rPr>
        <w:t xml:space="preserve">: </w:t>
      </w:r>
    </w:p>
    <w:p w14:paraId="739C649F" w14:textId="77777777" w:rsidR="004875C1" w:rsidRPr="00D51850" w:rsidRDefault="004875C1" w:rsidP="004875C1">
      <w:pPr>
        <w:pStyle w:val="ListParagraph"/>
        <w:numPr>
          <w:ilvl w:val="2"/>
          <w:numId w:val="9"/>
        </w:numPr>
        <w:spacing w:after="120"/>
        <w:ind w:left="1134"/>
        <w:jc w:val="both"/>
        <w:rPr>
          <w:color w:val="0F243E" w:themeColor="text2" w:themeShade="80"/>
          <w:szCs w:val="24"/>
        </w:rPr>
      </w:pPr>
      <w:r w:rsidRPr="00D51850">
        <w:rPr>
          <w:color w:val="0F243E" w:themeColor="text2" w:themeShade="80"/>
          <w:szCs w:val="24"/>
        </w:rPr>
        <w:t xml:space="preserve">Governments should review and monitor access status in their county through a human rights lens; appropriate structures to be set up with civil society participation; UN should set up independent review body and Task force to 2030 (duration of the SGDs); </w:t>
      </w:r>
    </w:p>
    <w:p w14:paraId="51CD22CB" w14:textId="77777777" w:rsidR="004875C1" w:rsidRPr="00D51850" w:rsidRDefault="004875C1" w:rsidP="004875C1">
      <w:pPr>
        <w:pStyle w:val="ListParagraph"/>
        <w:numPr>
          <w:ilvl w:val="2"/>
          <w:numId w:val="9"/>
        </w:numPr>
        <w:spacing w:after="120"/>
        <w:ind w:left="1134"/>
        <w:jc w:val="both"/>
        <w:rPr>
          <w:color w:val="0F243E" w:themeColor="text2" w:themeShade="80"/>
          <w:szCs w:val="24"/>
        </w:rPr>
      </w:pPr>
      <w:r w:rsidRPr="00D51850">
        <w:rPr>
          <w:color w:val="0F243E" w:themeColor="text2" w:themeShade="80"/>
          <w:szCs w:val="24"/>
        </w:rPr>
        <w:t xml:space="preserve">Private companies should report publicly on what they have done on access and have a strategy and governance in place for this; governments should require information from companies on the separate costs of R&amp;D, production, marketing etc., as well as public funding they receive including tax credits and subsidies; </w:t>
      </w:r>
    </w:p>
    <w:p w14:paraId="45BCA97A" w14:textId="77777777" w:rsidR="004875C1" w:rsidRPr="00D51850" w:rsidRDefault="004875C1" w:rsidP="004875C1">
      <w:pPr>
        <w:pStyle w:val="ListParagraph"/>
        <w:numPr>
          <w:ilvl w:val="2"/>
          <w:numId w:val="9"/>
        </w:numPr>
        <w:spacing w:after="120"/>
        <w:ind w:left="1134"/>
        <w:jc w:val="both"/>
        <w:rPr>
          <w:color w:val="0F243E" w:themeColor="text2" w:themeShade="80"/>
          <w:szCs w:val="24"/>
        </w:rPr>
      </w:pPr>
      <w:r w:rsidRPr="00D51850">
        <w:rPr>
          <w:color w:val="0F243E" w:themeColor="text2" w:themeShade="80"/>
          <w:szCs w:val="24"/>
        </w:rPr>
        <w:lastRenderedPageBreak/>
        <w:t xml:space="preserve">WHO should maintain a cross-country registry of prices of originator and generic medicines. All (non-identifiable) data from all clinical trials should be made accessible through registries; trials protocols etc. should be made available in the public domain. Governments should establish international database for the patent status of medicines, including vaccines. </w:t>
      </w:r>
    </w:p>
    <w:p w14:paraId="77ABF8E6" w14:textId="6042DEF1" w:rsidR="003B3663" w:rsidRPr="00D51850" w:rsidRDefault="002D4076" w:rsidP="0063266D">
      <w:pPr>
        <w:spacing w:after="120" w:line="276" w:lineRule="auto"/>
        <w:jc w:val="both"/>
        <w:rPr>
          <w:color w:val="0F243E" w:themeColor="text2" w:themeShade="80"/>
        </w:rPr>
      </w:pPr>
      <w:r w:rsidRPr="00D51850">
        <w:rPr>
          <w:color w:val="0F243E" w:themeColor="text2" w:themeShade="80"/>
        </w:rPr>
        <w:t xml:space="preserve">A </w:t>
      </w:r>
      <w:r w:rsidRPr="00D51850">
        <w:rPr>
          <w:i/>
          <w:color w:val="0F243E" w:themeColor="text2" w:themeShade="80"/>
        </w:rPr>
        <w:t>“Fair Pricing Forum”</w:t>
      </w:r>
      <w:r w:rsidRPr="00D51850">
        <w:rPr>
          <w:color w:val="0F243E" w:themeColor="text2" w:themeShade="80"/>
        </w:rPr>
        <w:t xml:space="preserve"> organised  jointly by</w:t>
      </w:r>
      <w:r w:rsidR="00F3598D" w:rsidRPr="00D51850">
        <w:rPr>
          <w:color w:val="0F243E" w:themeColor="text2" w:themeShade="80"/>
        </w:rPr>
        <w:t xml:space="preserve"> the</w:t>
      </w:r>
      <w:r w:rsidRPr="00D51850">
        <w:rPr>
          <w:color w:val="0F243E" w:themeColor="text2" w:themeShade="80"/>
        </w:rPr>
        <w:t xml:space="preserve"> </w:t>
      </w:r>
      <w:r w:rsidR="00F3598D" w:rsidRPr="00D51850">
        <w:rPr>
          <w:b/>
          <w:color w:val="0F243E" w:themeColor="text2" w:themeShade="80"/>
        </w:rPr>
        <w:t>World Health Organization</w:t>
      </w:r>
      <w:r w:rsidR="00F3598D" w:rsidRPr="00D51850">
        <w:rPr>
          <w:color w:val="0F243E" w:themeColor="text2" w:themeShade="80"/>
        </w:rPr>
        <w:t xml:space="preserve"> </w:t>
      </w:r>
      <w:r w:rsidRPr="00D51850">
        <w:rPr>
          <w:color w:val="0F243E" w:themeColor="text2" w:themeShade="80"/>
        </w:rPr>
        <w:t xml:space="preserve">and </w:t>
      </w:r>
      <w:r w:rsidR="00F3598D" w:rsidRPr="00D51850">
        <w:rPr>
          <w:color w:val="0F243E" w:themeColor="text2" w:themeShade="80"/>
        </w:rPr>
        <w:t xml:space="preserve">the </w:t>
      </w:r>
      <w:r w:rsidRPr="00D51850">
        <w:rPr>
          <w:color w:val="0F243E" w:themeColor="text2" w:themeShade="80"/>
        </w:rPr>
        <w:t xml:space="preserve">Dutch Health Ministry was held in May 2017. It debated “difficult subjects”, such as the desirability or not of the concept of “value-based pricing” (as used by the industry), the need for more transparency, and de-linkage between the cost of R&amp;D and prices of medicines. This will likely not be the last such meeting. </w:t>
      </w:r>
      <w:r w:rsidR="00F3598D" w:rsidRPr="00D51850">
        <w:rPr>
          <w:color w:val="0F243E" w:themeColor="text2" w:themeShade="80"/>
        </w:rPr>
        <w:t xml:space="preserve">WHO </w:t>
      </w:r>
      <w:r w:rsidR="004875C1" w:rsidRPr="00D51850">
        <w:rPr>
          <w:color w:val="0F243E" w:themeColor="text2" w:themeShade="80"/>
        </w:rPr>
        <w:t xml:space="preserve">Director-General </w:t>
      </w:r>
      <w:proofErr w:type="spellStart"/>
      <w:r w:rsidR="004875C1" w:rsidRPr="00D51850">
        <w:rPr>
          <w:color w:val="0F243E" w:themeColor="text2" w:themeShade="80"/>
        </w:rPr>
        <w:t>Tedros</w:t>
      </w:r>
      <w:proofErr w:type="spellEnd"/>
      <w:r w:rsidR="004875C1" w:rsidRPr="00D51850">
        <w:rPr>
          <w:color w:val="0F243E" w:themeColor="text2" w:themeShade="80"/>
        </w:rPr>
        <w:t xml:space="preserve"> </w:t>
      </w:r>
      <w:proofErr w:type="spellStart"/>
      <w:r w:rsidR="004875C1" w:rsidRPr="00D51850">
        <w:rPr>
          <w:color w:val="0F243E" w:themeColor="text2" w:themeShade="80"/>
        </w:rPr>
        <w:t>Adhanom</w:t>
      </w:r>
      <w:proofErr w:type="spellEnd"/>
      <w:r w:rsidR="004875C1" w:rsidRPr="00D51850">
        <w:rPr>
          <w:color w:val="0F243E" w:themeColor="text2" w:themeShade="80"/>
        </w:rPr>
        <w:t xml:space="preserve"> </w:t>
      </w:r>
      <w:proofErr w:type="spellStart"/>
      <w:r w:rsidR="004875C1" w:rsidRPr="00D51850">
        <w:rPr>
          <w:color w:val="0F243E" w:themeColor="text2" w:themeShade="80"/>
        </w:rPr>
        <w:t>Ghebreyesus</w:t>
      </w:r>
      <w:proofErr w:type="spellEnd"/>
      <w:r w:rsidR="00F3598D" w:rsidRPr="00D51850">
        <w:rPr>
          <w:color w:val="0F243E" w:themeColor="text2" w:themeShade="80"/>
        </w:rPr>
        <w:t xml:space="preserve">, when taking up his post, </w:t>
      </w:r>
      <w:r w:rsidR="004875C1" w:rsidRPr="00D51850">
        <w:rPr>
          <w:color w:val="0F243E" w:themeColor="text2" w:themeShade="80"/>
        </w:rPr>
        <w:t>stated his intentions to take on medicines pricing and access, possibly by using the recommendations of the UN High-Level Panel, for example by pressing industry to be transparent about all their costs including research and development, production, marketing and distribution.</w:t>
      </w:r>
      <w:r w:rsidR="00635206" w:rsidRPr="00D51850">
        <w:rPr>
          <w:color w:val="0F243E" w:themeColor="text2" w:themeShade="80"/>
        </w:rPr>
        <w:t xml:space="preserve"> </w:t>
      </w:r>
      <w:r w:rsidR="00DC5F29" w:rsidRPr="00D51850">
        <w:rPr>
          <w:color w:val="0F243E" w:themeColor="text2" w:themeShade="80"/>
        </w:rPr>
        <w:t xml:space="preserve">Recently, a </w:t>
      </w:r>
      <w:r w:rsidR="00635206" w:rsidRPr="00D51850">
        <w:rPr>
          <w:color w:val="0F243E" w:themeColor="text2" w:themeShade="80"/>
        </w:rPr>
        <w:t xml:space="preserve">report </w:t>
      </w:r>
      <w:r w:rsidR="00DC5F29" w:rsidRPr="00D51850">
        <w:rPr>
          <w:color w:val="0F243E" w:themeColor="text2" w:themeShade="80"/>
        </w:rPr>
        <w:t xml:space="preserve">on </w:t>
      </w:r>
      <w:r w:rsidR="00635206" w:rsidRPr="00D51850">
        <w:rPr>
          <w:color w:val="0F243E" w:themeColor="text2" w:themeShade="80"/>
        </w:rPr>
        <w:t>shortage of and access to medicines and vaccines</w:t>
      </w:r>
      <w:r w:rsidR="00DC5F29" w:rsidRPr="00D51850">
        <w:rPr>
          <w:rStyle w:val="EndnoteReference"/>
          <w:color w:val="0F243E" w:themeColor="text2" w:themeShade="80"/>
        </w:rPr>
        <w:endnoteReference w:id="15"/>
      </w:r>
      <w:r w:rsidR="00635206" w:rsidRPr="00D51850">
        <w:rPr>
          <w:color w:val="0F243E" w:themeColor="text2" w:themeShade="80"/>
        </w:rPr>
        <w:t xml:space="preserve"> has been </w:t>
      </w:r>
      <w:r w:rsidR="00DC5F29" w:rsidRPr="00D51850">
        <w:rPr>
          <w:color w:val="0F243E" w:themeColor="text2" w:themeShade="80"/>
        </w:rPr>
        <w:t>presented,</w:t>
      </w:r>
      <w:r w:rsidR="00635206" w:rsidRPr="00D51850">
        <w:rPr>
          <w:color w:val="0F243E" w:themeColor="text2" w:themeShade="80"/>
        </w:rPr>
        <w:t xml:space="preserve"> and </w:t>
      </w:r>
      <w:r w:rsidR="00DC5F29" w:rsidRPr="00D51850">
        <w:rPr>
          <w:color w:val="0F243E" w:themeColor="text2" w:themeShade="80"/>
        </w:rPr>
        <w:t xml:space="preserve">based on this </w:t>
      </w:r>
      <w:proofErr w:type="spellStart"/>
      <w:r w:rsidR="00635206" w:rsidRPr="00D51850">
        <w:rPr>
          <w:color w:val="0F243E" w:themeColor="text2" w:themeShade="80"/>
        </w:rPr>
        <w:t>Tedros</w:t>
      </w:r>
      <w:proofErr w:type="spellEnd"/>
      <w:r w:rsidR="00635206" w:rsidRPr="00D51850">
        <w:rPr>
          <w:color w:val="0F243E" w:themeColor="text2" w:themeShade="80"/>
        </w:rPr>
        <w:t xml:space="preserve"> </w:t>
      </w:r>
      <w:r w:rsidR="00DC5F29" w:rsidRPr="00D51850">
        <w:rPr>
          <w:color w:val="0F243E" w:themeColor="text2" w:themeShade="80"/>
        </w:rPr>
        <w:t xml:space="preserve">has been asked </w:t>
      </w:r>
      <w:r w:rsidR="00635206" w:rsidRPr="00D51850">
        <w:rPr>
          <w:color w:val="0F243E" w:themeColor="text2" w:themeShade="80"/>
        </w:rPr>
        <w:t xml:space="preserve">to work with member countries on a </w:t>
      </w:r>
      <w:r w:rsidR="00635206" w:rsidRPr="00D51850">
        <w:rPr>
          <w:i/>
          <w:color w:val="0F243E" w:themeColor="text2" w:themeShade="80"/>
        </w:rPr>
        <w:t>roadmap to improve access to medicines and vaccines, including activities, actions and deliverables for the period 2019−2023</w:t>
      </w:r>
      <w:r w:rsidR="00635206" w:rsidRPr="00D51850">
        <w:rPr>
          <w:color w:val="0F243E" w:themeColor="text2" w:themeShade="80"/>
        </w:rPr>
        <w:t>. This</w:t>
      </w:r>
      <w:r w:rsidR="0063266D" w:rsidRPr="00D51850">
        <w:rPr>
          <w:color w:val="0F243E" w:themeColor="text2" w:themeShade="80"/>
        </w:rPr>
        <w:t xml:space="preserve"> report makes explicit reference to the UN recommendations despite these having divided country opinions.</w:t>
      </w:r>
      <w:r w:rsidR="0063266D" w:rsidRPr="00D51850">
        <w:rPr>
          <w:rStyle w:val="EndnoteReference"/>
          <w:color w:val="0F243E" w:themeColor="text2" w:themeShade="80"/>
        </w:rPr>
        <w:endnoteReference w:id="16"/>
      </w:r>
      <w:r w:rsidR="0063266D" w:rsidRPr="00D51850">
        <w:rPr>
          <w:color w:val="0F243E" w:themeColor="text2" w:themeShade="80"/>
        </w:rPr>
        <w:t xml:space="preserve"> The report is</w:t>
      </w:r>
      <w:r w:rsidR="00635206" w:rsidRPr="00D51850">
        <w:rPr>
          <w:color w:val="0F243E" w:themeColor="text2" w:themeShade="80"/>
        </w:rPr>
        <w:t xml:space="preserve"> likely to be adopted by the World Health Assembly in May 2018.</w:t>
      </w:r>
    </w:p>
    <w:p w14:paraId="10E2A29C" w14:textId="53ACC745" w:rsidR="004875C1" w:rsidRPr="00D51850" w:rsidRDefault="004875C1" w:rsidP="004875C1">
      <w:pPr>
        <w:spacing w:after="120" w:line="276" w:lineRule="auto"/>
        <w:jc w:val="both"/>
        <w:rPr>
          <w:color w:val="0F243E" w:themeColor="text2" w:themeShade="80"/>
        </w:rPr>
      </w:pPr>
      <w:r w:rsidRPr="00D51850">
        <w:rPr>
          <w:color w:val="0F243E" w:themeColor="text2" w:themeShade="80"/>
        </w:rPr>
        <w:t xml:space="preserve">Following the publication of the </w:t>
      </w:r>
      <w:r w:rsidRPr="00D51850">
        <w:rPr>
          <w:b/>
          <w:color w:val="0F243E" w:themeColor="text2" w:themeShade="80"/>
        </w:rPr>
        <w:t xml:space="preserve">2017 report, OECD </w:t>
      </w:r>
      <w:r w:rsidR="008F7A15" w:rsidRPr="00D51850">
        <w:rPr>
          <w:b/>
          <w:color w:val="0F243E" w:themeColor="text2" w:themeShade="80"/>
        </w:rPr>
        <w:t xml:space="preserve">held a public consultation and </w:t>
      </w:r>
      <w:r w:rsidRPr="00D51850">
        <w:rPr>
          <w:b/>
          <w:color w:val="0F243E" w:themeColor="text2" w:themeShade="80"/>
        </w:rPr>
        <w:t>stakeholder consultation meetings</w:t>
      </w:r>
      <w:r w:rsidRPr="00D51850">
        <w:rPr>
          <w:color w:val="0F243E" w:themeColor="text2" w:themeShade="80"/>
        </w:rPr>
        <w:t xml:space="preserve">  with civil society and with industry. </w:t>
      </w:r>
      <w:r w:rsidR="008F7A15" w:rsidRPr="00D51850">
        <w:rPr>
          <w:color w:val="0F243E" w:themeColor="text2" w:themeShade="80"/>
        </w:rPr>
        <w:t xml:space="preserve">EPF submitted a response to the OECD public consultation and </w:t>
      </w:r>
      <w:r w:rsidRPr="00D51850">
        <w:rPr>
          <w:color w:val="0F243E" w:themeColor="text2" w:themeShade="80"/>
        </w:rPr>
        <w:t xml:space="preserve">participated in a civil society  consultation meeting in June 2017. there has been no follow-up, however, </w:t>
      </w:r>
      <w:r w:rsidR="003B3663" w:rsidRPr="00D51850">
        <w:rPr>
          <w:color w:val="0F243E" w:themeColor="text2" w:themeShade="80"/>
        </w:rPr>
        <w:t>since</w:t>
      </w:r>
      <w:r w:rsidRPr="00D51850">
        <w:rPr>
          <w:color w:val="0F243E" w:themeColor="text2" w:themeShade="80"/>
        </w:rPr>
        <w:t xml:space="preserve"> those meetings. </w:t>
      </w:r>
    </w:p>
    <w:p w14:paraId="776F4F9F" w14:textId="1FC2FCD7" w:rsidR="00F6180E" w:rsidRPr="0038165E" w:rsidRDefault="00F6180E" w:rsidP="0038165E">
      <w:pPr>
        <w:pStyle w:val="Heading2"/>
        <w:numPr>
          <w:ilvl w:val="0"/>
          <w:numId w:val="0"/>
        </w:numPr>
        <w:spacing w:before="120" w:after="120" w:line="240" w:lineRule="auto"/>
        <w:rPr>
          <w:caps w:val="0"/>
          <w:sz w:val="24"/>
        </w:rPr>
      </w:pPr>
      <w:bookmarkStart w:id="9" w:name="_Toc511039281"/>
      <w:r w:rsidRPr="0038165E">
        <w:rPr>
          <w:caps w:val="0"/>
          <w:sz w:val="24"/>
        </w:rPr>
        <w:t>The Council</w:t>
      </w:r>
      <w:r w:rsidR="004D4372" w:rsidRPr="0038165E">
        <w:rPr>
          <w:caps w:val="0"/>
          <w:sz w:val="24"/>
        </w:rPr>
        <w:t xml:space="preserve"> and Parliament</w:t>
      </w:r>
      <w:r w:rsidRPr="0038165E">
        <w:rPr>
          <w:caps w:val="0"/>
          <w:sz w:val="24"/>
        </w:rPr>
        <w:t xml:space="preserve">: </w:t>
      </w:r>
      <w:r w:rsidR="005F159A" w:rsidRPr="0038165E">
        <w:rPr>
          <w:caps w:val="0"/>
          <w:sz w:val="24"/>
        </w:rPr>
        <w:t>Call</w:t>
      </w:r>
      <w:r w:rsidR="004D4372" w:rsidRPr="0038165E">
        <w:rPr>
          <w:caps w:val="0"/>
          <w:sz w:val="24"/>
        </w:rPr>
        <w:t>s</w:t>
      </w:r>
      <w:r w:rsidR="005F159A" w:rsidRPr="0038165E">
        <w:rPr>
          <w:caps w:val="0"/>
          <w:sz w:val="24"/>
        </w:rPr>
        <w:t xml:space="preserve"> </w:t>
      </w:r>
      <w:r w:rsidRPr="0038165E">
        <w:rPr>
          <w:caps w:val="0"/>
          <w:sz w:val="24"/>
        </w:rPr>
        <w:t>for political action</w:t>
      </w:r>
      <w:bookmarkEnd w:id="9"/>
      <w:r w:rsidRPr="0038165E">
        <w:rPr>
          <w:caps w:val="0"/>
          <w:sz w:val="24"/>
        </w:rPr>
        <w:t xml:space="preserve"> </w:t>
      </w:r>
    </w:p>
    <w:p w14:paraId="72EC046F" w14:textId="77777777" w:rsidR="00631FE3" w:rsidRPr="00D51850" w:rsidRDefault="00631FE3" w:rsidP="005F159A">
      <w:pPr>
        <w:spacing w:after="120" w:line="276" w:lineRule="auto"/>
        <w:jc w:val="both"/>
        <w:rPr>
          <w:color w:val="0F243E" w:themeColor="text2" w:themeShade="80"/>
          <w:szCs w:val="24"/>
        </w:rPr>
      </w:pPr>
      <w:r w:rsidRPr="00D51850">
        <w:rPr>
          <w:color w:val="0F243E" w:themeColor="text2" w:themeShade="80"/>
          <w:szCs w:val="24"/>
        </w:rPr>
        <w:t xml:space="preserve">Already in 2014, Council Conclusions on “Innovation for the benefits of patients” had expressed concern that “very high prices of some innovative medicinal products in relation to their benefit to patients” were having an impact on public health expenditure, and recalled previous Council Conclusions on the “reflection process on modern, responsive and sustainable health systems” (December 2013) and “on the economic crisis and healthcare” (June 2014), which called for cooperation on strategies to effectively manage expenditure whilst ensuring equitable access to effective medicines. </w:t>
      </w:r>
    </w:p>
    <w:p w14:paraId="3E5C7DA7" w14:textId="2CCBE881" w:rsidR="000979C1" w:rsidRPr="00D51850" w:rsidRDefault="00631FE3" w:rsidP="005F159A">
      <w:pPr>
        <w:spacing w:after="120" w:line="276" w:lineRule="auto"/>
        <w:jc w:val="both"/>
        <w:rPr>
          <w:color w:val="0F243E" w:themeColor="text2" w:themeShade="80"/>
          <w:szCs w:val="24"/>
        </w:rPr>
      </w:pPr>
      <w:r w:rsidRPr="00D51850">
        <w:rPr>
          <w:color w:val="0F243E" w:themeColor="text2" w:themeShade="80"/>
          <w:szCs w:val="24"/>
        </w:rPr>
        <w:t>U</w:t>
      </w:r>
      <w:r w:rsidR="00F6180E" w:rsidRPr="00D51850">
        <w:rPr>
          <w:color w:val="0F243E" w:themeColor="text2" w:themeShade="80"/>
          <w:szCs w:val="24"/>
        </w:rPr>
        <w:t>nder</w:t>
      </w:r>
      <w:r w:rsidRPr="00D51850">
        <w:rPr>
          <w:color w:val="0F243E" w:themeColor="text2" w:themeShade="80"/>
          <w:szCs w:val="24"/>
        </w:rPr>
        <w:t xml:space="preserve"> </w:t>
      </w:r>
      <w:r w:rsidR="00F6180E" w:rsidRPr="00D51850">
        <w:rPr>
          <w:color w:val="0F243E" w:themeColor="text2" w:themeShade="80"/>
          <w:szCs w:val="24"/>
        </w:rPr>
        <w:t>the Dutch presidency</w:t>
      </w:r>
      <w:r w:rsidR="000979C1" w:rsidRPr="00D51850">
        <w:rPr>
          <w:color w:val="0F243E" w:themeColor="text2" w:themeShade="80"/>
          <w:szCs w:val="24"/>
        </w:rPr>
        <w:t>,</w:t>
      </w:r>
      <w:r w:rsidR="00F6180E" w:rsidRPr="00D51850">
        <w:rPr>
          <w:color w:val="0F243E" w:themeColor="text2" w:themeShade="80"/>
          <w:szCs w:val="24"/>
        </w:rPr>
        <w:t xml:space="preserve"> </w:t>
      </w:r>
      <w:r w:rsidRPr="00D51850">
        <w:rPr>
          <w:color w:val="0F243E" w:themeColor="text2" w:themeShade="80"/>
          <w:szCs w:val="24"/>
        </w:rPr>
        <w:t xml:space="preserve">the </w:t>
      </w:r>
      <w:r w:rsidRPr="00D51850">
        <w:rPr>
          <w:b/>
          <w:color w:val="0F243E" w:themeColor="text2" w:themeShade="80"/>
          <w:szCs w:val="24"/>
        </w:rPr>
        <w:t xml:space="preserve">Council </w:t>
      </w:r>
      <w:r w:rsidR="000979C1" w:rsidRPr="00D51850">
        <w:rPr>
          <w:b/>
          <w:color w:val="0F243E" w:themeColor="text2" w:themeShade="80"/>
          <w:szCs w:val="24"/>
        </w:rPr>
        <w:t>conclusions</w:t>
      </w:r>
      <w:r w:rsidR="004800B2" w:rsidRPr="00D51850">
        <w:rPr>
          <w:b/>
          <w:color w:val="0F243E" w:themeColor="text2" w:themeShade="80"/>
          <w:szCs w:val="24"/>
        </w:rPr>
        <w:t xml:space="preserve"> </w:t>
      </w:r>
      <w:r w:rsidR="004D4372" w:rsidRPr="00D51850">
        <w:rPr>
          <w:b/>
          <w:color w:val="0F243E" w:themeColor="text2" w:themeShade="80"/>
          <w:szCs w:val="24"/>
        </w:rPr>
        <w:t xml:space="preserve">on </w:t>
      </w:r>
      <w:r w:rsidR="004800B2" w:rsidRPr="00D51850">
        <w:rPr>
          <w:b/>
          <w:color w:val="0F243E" w:themeColor="text2" w:themeShade="80"/>
          <w:szCs w:val="24"/>
        </w:rPr>
        <w:t>“Strengthening the balance in the pharmaceutical systems in the EU and its Member States”</w:t>
      </w:r>
      <w:r w:rsidR="004D4372" w:rsidRPr="00D51850">
        <w:rPr>
          <w:color w:val="0F243E" w:themeColor="text2" w:themeShade="80"/>
          <w:szCs w:val="24"/>
        </w:rPr>
        <w:t xml:space="preserve"> were published in July 2016</w:t>
      </w:r>
      <w:r w:rsidR="00E1527D" w:rsidRPr="00D51850">
        <w:rPr>
          <w:color w:val="0F243E" w:themeColor="text2" w:themeShade="80"/>
          <w:szCs w:val="24"/>
        </w:rPr>
        <w:t>.</w:t>
      </w:r>
      <w:r w:rsidR="00E1527D" w:rsidRPr="00D51850">
        <w:rPr>
          <w:rStyle w:val="EndnoteReference"/>
          <w:color w:val="0F243E" w:themeColor="text2" w:themeShade="80"/>
          <w:szCs w:val="24"/>
        </w:rPr>
        <w:endnoteReference w:id="17"/>
      </w:r>
      <w:r w:rsidR="000979C1" w:rsidRPr="00D51850">
        <w:rPr>
          <w:color w:val="0F243E" w:themeColor="text2" w:themeShade="80"/>
          <w:szCs w:val="24"/>
        </w:rPr>
        <w:t xml:space="preserve"> </w:t>
      </w:r>
      <w:r w:rsidR="004800B2" w:rsidRPr="00D51850">
        <w:rPr>
          <w:color w:val="0F243E" w:themeColor="text2" w:themeShade="80"/>
          <w:szCs w:val="24"/>
        </w:rPr>
        <w:t>The</w:t>
      </w:r>
      <w:r w:rsidR="004D4372" w:rsidRPr="00D51850">
        <w:rPr>
          <w:color w:val="0F243E" w:themeColor="text2" w:themeShade="80"/>
          <w:szCs w:val="24"/>
        </w:rPr>
        <w:t>se</w:t>
      </w:r>
      <w:r w:rsidR="004800B2" w:rsidRPr="00D51850">
        <w:rPr>
          <w:color w:val="0F243E" w:themeColor="text2" w:themeShade="80"/>
          <w:szCs w:val="24"/>
        </w:rPr>
        <w:t xml:space="preserve"> </w:t>
      </w:r>
      <w:r w:rsidR="005F159A" w:rsidRPr="00D51850">
        <w:rPr>
          <w:color w:val="0F243E" w:themeColor="text2" w:themeShade="80"/>
          <w:szCs w:val="24"/>
        </w:rPr>
        <w:t xml:space="preserve">conclusions </w:t>
      </w:r>
      <w:r w:rsidRPr="00D51850">
        <w:rPr>
          <w:color w:val="0F243E" w:themeColor="text2" w:themeShade="80"/>
          <w:szCs w:val="24"/>
        </w:rPr>
        <w:t xml:space="preserve">went substantially further. The Council asked </w:t>
      </w:r>
      <w:r w:rsidR="004800B2" w:rsidRPr="00D51850">
        <w:rPr>
          <w:color w:val="0F243E" w:themeColor="text2" w:themeShade="80"/>
          <w:szCs w:val="24"/>
        </w:rPr>
        <w:t xml:space="preserve">the Commission to prepare an "evidence-based analysis of the impact of the incentives (…) on innovation, as well as on the availability, </w:t>
      </w:r>
      <w:r w:rsidR="004800B2" w:rsidRPr="00D51850">
        <w:rPr>
          <w:i/>
          <w:color w:val="0F243E" w:themeColor="text2" w:themeShade="80"/>
          <w:szCs w:val="24"/>
        </w:rPr>
        <w:t>inter alia</w:t>
      </w:r>
      <w:r w:rsidR="004800B2" w:rsidRPr="00D51850">
        <w:rPr>
          <w:color w:val="0F243E" w:themeColor="text2" w:themeShade="80"/>
          <w:szCs w:val="24"/>
        </w:rPr>
        <w:t xml:space="preserve"> supply shortages and deferred or missed market launches, and accessibility of medicinal products, including high priced essential medicinal products for conditions that pose a high burden for patients and health systems as well as availability of generic medicinal products.” Special attention should be given to the supplementary protection certificate (SPC)</w:t>
      </w:r>
      <w:r w:rsidR="004800B2" w:rsidRPr="00D51850">
        <w:rPr>
          <w:rStyle w:val="FootnoteReference"/>
          <w:color w:val="0F243E" w:themeColor="text2" w:themeShade="80"/>
          <w:szCs w:val="24"/>
        </w:rPr>
        <w:footnoteReference w:id="5"/>
      </w:r>
      <w:r w:rsidR="004800B2" w:rsidRPr="00D51850">
        <w:rPr>
          <w:color w:val="0F243E" w:themeColor="text2" w:themeShade="80"/>
          <w:szCs w:val="24"/>
        </w:rPr>
        <w:t>, the “</w:t>
      </w:r>
      <w:proofErr w:type="spellStart"/>
      <w:r w:rsidR="004800B2" w:rsidRPr="00D51850">
        <w:rPr>
          <w:color w:val="0F243E" w:themeColor="text2" w:themeShade="80"/>
          <w:szCs w:val="24"/>
        </w:rPr>
        <w:t>Bolar</w:t>
      </w:r>
      <w:proofErr w:type="spellEnd"/>
      <w:r w:rsidR="004800B2" w:rsidRPr="00D51850">
        <w:rPr>
          <w:color w:val="0F243E" w:themeColor="text2" w:themeShade="80"/>
          <w:szCs w:val="24"/>
        </w:rPr>
        <w:t xml:space="preserve">” patent </w:t>
      </w:r>
      <w:r w:rsidR="004800B2" w:rsidRPr="00D51850">
        <w:rPr>
          <w:color w:val="0F243E" w:themeColor="text2" w:themeShade="80"/>
          <w:szCs w:val="24"/>
        </w:rPr>
        <w:lastRenderedPageBreak/>
        <w:t>exemption</w:t>
      </w:r>
      <w:r w:rsidR="004800B2" w:rsidRPr="00D51850">
        <w:rPr>
          <w:rStyle w:val="FootnoteReference"/>
          <w:color w:val="0F243E" w:themeColor="text2" w:themeShade="80"/>
          <w:szCs w:val="24"/>
        </w:rPr>
        <w:footnoteReference w:id="6"/>
      </w:r>
      <w:r w:rsidR="004800B2" w:rsidRPr="00D51850">
        <w:rPr>
          <w:color w:val="0F243E" w:themeColor="text2" w:themeShade="80"/>
          <w:szCs w:val="24"/>
        </w:rPr>
        <w:t xml:space="preserve">, and the incentives included in the EU Regulation on orphan medicines. </w:t>
      </w:r>
      <w:r w:rsidR="0063490F" w:rsidRPr="00D51850">
        <w:rPr>
          <w:color w:val="0F243E" w:themeColor="text2" w:themeShade="80"/>
          <w:szCs w:val="24"/>
        </w:rPr>
        <w:t xml:space="preserve">The analysis should also address the impact of these on the development of new medicines and on pricing strategies. </w:t>
      </w:r>
      <w:r w:rsidR="00535B2C" w:rsidRPr="00D51850">
        <w:rPr>
          <w:color w:val="0F243E" w:themeColor="text2" w:themeShade="80"/>
          <w:szCs w:val="24"/>
        </w:rPr>
        <w:t xml:space="preserve">The final version of the Council conclusions </w:t>
      </w:r>
      <w:r w:rsidR="00535B2C" w:rsidRPr="00D51850">
        <w:rPr>
          <w:i/>
          <w:color w:val="0F243E" w:themeColor="text2" w:themeShade="80"/>
          <w:szCs w:val="24"/>
        </w:rPr>
        <w:t>noted</w:t>
      </w:r>
      <w:r w:rsidR="00535B2C" w:rsidRPr="00D51850">
        <w:rPr>
          <w:color w:val="0F243E" w:themeColor="text2" w:themeShade="80"/>
          <w:szCs w:val="24"/>
        </w:rPr>
        <w:t xml:space="preserve"> the recommendations of the UN High-Level Panel. </w:t>
      </w:r>
    </w:p>
    <w:p w14:paraId="10738A06" w14:textId="70E6916D" w:rsidR="00E1527D" w:rsidRPr="00D51850" w:rsidRDefault="00E1527D" w:rsidP="00C32D60">
      <w:pPr>
        <w:spacing w:after="120" w:line="276" w:lineRule="auto"/>
        <w:jc w:val="both"/>
        <w:rPr>
          <w:color w:val="0F243E" w:themeColor="text2" w:themeShade="80"/>
          <w:szCs w:val="24"/>
        </w:rPr>
      </w:pPr>
      <w:r w:rsidRPr="00D51850">
        <w:rPr>
          <w:color w:val="0F243E" w:themeColor="text2" w:themeShade="80"/>
          <w:szCs w:val="24"/>
        </w:rPr>
        <w:t xml:space="preserve">The </w:t>
      </w:r>
      <w:r w:rsidRPr="00D51850">
        <w:rPr>
          <w:b/>
          <w:color w:val="0F243E" w:themeColor="text2" w:themeShade="80"/>
          <w:szCs w:val="24"/>
        </w:rPr>
        <w:t>European Parliament’s own-initiative report</w:t>
      </w:r>
      <w:r w:rsidRPr="00D51850">
        <w:rPr>
          <w:color w:val="0F243E" w:themeColor="text2" w:themeShade="80"/>
          <w:szCs w:val="24"/>
        </w:rPr>
        <w:t xml:space="preserve"> on “EU options for improving access to medicines” </w:t>
      </w:r>
      <w:r w:rsidR="002E2752" w:rsidRPr="00D51850">
        <w:rPr>
          <w:color w:val="0F243E" w:themeColor="text2" w:themeShade="80"/>
          <w:szCs w:val="24"/>
        </w:rPr>
        <w:t>(February 2017)</w:t>
      </w:r>
      <w:r w:rsidR="00971AD4" w:rsidRPr="00D51850">
        <w:rPr>
          <w:rStyle w:val="EndnoteReference"/>
          <w:color w:val="0F243E" w:themeColor="text2" w:themeShade="80"/>
          <w:szCs w:val="24"/>
        </w:rPr>
        <w:t xml:space="preserve"> </w:t>
      </w:r>
      <w:r w:rsidR="00971AD4" w:rsidRPr="00D51850">
        <w:rPr>
          <w:rStyle w:val="EndnoteReference"/>
          <w:color w:val="0F243E" w:themeColor="text2" w:themeShade="80"/>
          <w:szCs w:val="24"/>
        </w:rPr>
        <w:endnoteReference w:id="18"/>
      </w:r>
      <w:r w:rsidR="002E2752" w:rsidRPr="00D51850">
        <w:rPr>
          <w:color w:val="0F243E" w:themeColor="text2" w:themeShade="80"/>
          <w:szCs w:val="24"/>
        </w:rPr>
        <w:t xml:space="preserve"> supported the Council’s call for a Commission study </w:t>
      </w:r>
      <w:r w:rsidR="009267B9" w:rsidRPr="00D51850">
        <w:rPr>
          <w:color w:val="0F243E" w:themeColor="text2" w:themeShade="80"/>
          <w:szCs w:val="24"/>
        </w:rPr>
        <w:t xml:space="preserve">and </w:t>
      </w:r>
      <w:r w:rsidR="001A1CAB" w:rsidRPr="00D51850">
        <w:rPr>
          <w:color w:val="0F243E" w:themeColor="text2" w:themeShade="80"/>
          <w:szCs w:val="24"/>
        </w:rPr>
        <w:t xml:space="preserve">calls for </w:t>
      </w:r>
      <w:r w:rsidRPr="00D51850">
        <w:rPr>
          <w:color w:val="0F243E" w:themeColor="text2" w:themeShade="80"/>
          <w:szCs w:val="24"/>
        </w:rPr>
        <w:t xml:space="preserve">national and EU-wide measures </w:t>
      </w:r>
      <w:r w:rsidRPr="00D51850">
        <w:rPr>
          <w:i/>
          <w:color w:val="0F243E" w:themeColor="text2" w:themeShade="80"/>
          <w:szCs w:val="24"/>
        </w:rPr>
        <w:t xml:space="preserve">to </w:t>
      </w:r>
      <w:r w:rsidR="001A1CAB" w:rsidRPr="00D51850">
        <w:rPr>
          <w:color w:val="0F243E" w:themeColor="text2" w:themeShade="80"/>
          <w:szCs w:val="24"/>
        </w:rPr>
        <w:t>“</w:t>
      </w:r>
      <w:r w:rsidRPr="00D51850">
        <w:rPr>
          <w:color w:val="0F243E" w:themeColor="text2" w:themeShade="80"/>
          <w:szCs w:val="24"/>
        </w:rPr>
        <w:t>guarantee the right of patients to universal, affordable, effective, safe and timely access to essential and innovative therapies</w:t>
      </w:r>
      <w:r w:rsidR="001A1CAB" w:rsidRPr="00D51850">
        <w:rPr>
          <w:color w:val="0F243E" w:themeColor="text2" w:themeShade="80"/>
          <w:szCs w:val="24"/>
        </w:rPr>
        <w:t>”.</w:t>
      </w:r>
      <w:r w:rsidR="009267B9" w:rsidRPr="00D51850">
        <w:rPr>
          <w:color w:val="0F243E" w:themeColor="text2" w:themeShade="80"/>
          <w:szCs w:val="24"/>
        </w:rPr>
        <w:t xml:space="preserve"> EPF contributed several amendments to the report, which </w:t>
      </w:r>
      <w:r w:rsidR="00C32D60" w:rsidRPr="00D51850">
        <w:rPr>
          <w:color w:val="0F243E" w:themeColor="text2" w:themeShade="80"/>
          <w:szCs w:val="24"/>
        </w:rPr>
        <w:t xml:space="preserve">asks the </w:t>
      </w:r>
      <w:r w:rsidRPr="00D51850">
        <w:rPr>
          <w:color w:val="0F243E" w:themeColor="text2" w:themeShade="80"/>
          <w:szCs w:val="24"/>
        </w:rPr>
        <w:t xml:space="preserve">Commission and Council to </w:t>
      </w:r>
      <w:r w:rsidR="00C32D60" w:rsidRPr="00D51850">
        <w:rPr>
          <w:color w:val="0F243E" w:themeColor="text2" w:themeShade="80"/>
          <w:szCs w:val="24"/>
        </w:rPr>
        <w:t>“</w:t>
      </w:r>
      <w:r w:rsidRPr="00D51850">
        <w:rPr>
          <w:color w:val="0F243E" w:themeColor="text2" w:themeShade="80"/>
          <w:szCs w:val="24"/>
        </w:rPr>
        <w:t>develop measures that ensure affordable patient access to medicines, and benefit to society, whilst avoiding any unacceptable impact on healthcare budgets</w:t>
      </w:r>
      <w:r w:rsidR="00C32D60" w:rsidRPr="00D51850">
        <w:rPr>
          <w:color w:val="0F243E" w:themeColor="text2" w:themeShade="80"/>
          <w:szCs w:val="24"/>
        </w:rPr>
        <w:t>”</w:t>
      </w:r>
      <w:r w:rsidRPr="00D51850">
        <w:rPr>
          <w:color w:val="0F243E" w:themeColor="text2" w:themeShade="80"/>
          <w:szCs w:val="24"/>
        </w:rPr>
        <w:t xml:space="preserve">, to </w:t>
      </w:r>
      <w:r w:rsidR="00C32D60" w:rsidRPr="00D51850">
        <w:rPr>
          <w:color w:val="0F243E" w:themeColor="text2" w:themeShade="80"/>
          <w:szCs w:val="24"/>
        </w:rPr>
        <w:t xml:space="preserve">apply </w:t>
      </w:r>
      <w:r w:rsidRPr="00D51850">
        <w:rPr>
          <w:color w:val="0F243E" w:themeColor="text2" w:themeShade="80"/>
          <w:szCs w:val="24"/>
        </w:rPr>
        <w:t>horizon scanning</w:t>
      </w:r>
      <w:r w:rsidR="00C32D60" w:rsidRPr="00D51850">
        <w:rPr>
          <w:color w:val="0F243E" w:themeColor="text2" w:themeShade="80"/>
          <w:szCs w:val="24"/>
        </w:rPr>
        <w:t xml:space="preserve"> and </w:t>
      </w:r>
      <w:r w:rsidRPr="00D51850">
        <w:rPr>
          <w:color w:val="0F243E" w:themeColor="text2" w:themeShade="80"/>
          <w:szCs w:val="24"/>
        </w:rPr>
        <w:t>early dialogue</w:t>
      </w:r>
      <w:r w:rsidR="00C32D60" w:rsidRPr="00D51850">
        <w:rPr>
          <w:color w:val="0F243E" w:themeColor="text2" w:themeShade="80"/>
          <w:szCs w:val="24"/>
        </w:rPr>
        <w:t xml:space="preserve"> (now included in the Commission’s legislative proposal on </w:t>
      </w:r>
      <w:r w:rsidR="009267B9" w:rsidRPr="00D51850">
        <w:rPr>
          <w:i/>
          <w:color w:val="0F243E" w:themeColor="text2" w:themeShade="80"/>
          <w:szCs w:val="24"/>
        </w:rPr>
        <w:t xml:space="preserve">Health Technology Assessment </w:t>
      </w:r>
      <w:r w:rsidR="009267B9" w:rsidRPr="00D51850">
        <w:rPr>
          <w:color w:val="0F243E" w:themeColor="text2" w:themeShade="80"/>
          <w:szCs w:val="24"/>
        </w:rPr>
        <w:t>of January 2018</w:t>
      </w:r>
      <w:r w:rsidR="00C32D60" w:rsidRPr="00D51850">
        <w:rPr>
          <w:color w:val="0F243E" w:themeColor="text2" w:themeShade="80"/>
          <w:szCs w:val="24"/>
        </w:rPr>
        <w:t>)</w:t>
      </w:r>
      <w:r w:rsidRPr="00D51850">
        <w:rPr>
          <w:color w:val="0F243E" w:themeColor="text2" w:themeShade="80"/>
          <w:szCs w:val="24"/>
        </w:rPr>
        <w:t xml:space="preserve">, </w:t>
      </w:r>
      <w:r w:rsidR="00C32D60" w:rsidRPr="00D51850">
        <w:rPr>
          <w:color w:val="0F243E" w:themeColor="text2" w:themeShade="80"/>
          <w:szCs w:val="24"/>
        </w:rPr>
        <w:t xml:space="preserve">explore </w:t>
      </w:r>
      <w:r w:rsidRPr="00D51850">
        <w:rPr>
          <w:color w:val="0F243E" w:themeColor="text2" w:themeShade="80"/>
          <w:szCs w:val="24"/>
        </w:rPr>
        <w:t>innovative pricing models, voluntary joint procurements and voluntary cooperation in price negotiations</w:t>
      </w:r>
      <w:r w:rsidR="00C32D60" w:rsidRPr="00D51850">
        <w:rPr>
          <w:color w:val="0F243E" w:themeColor="text2" w:themeShade="80"/>
          <w:szCs w:val="24"/>
        </w:rPr>
        <w:t xml:space="preserve">. </w:t>
      </w:r>
      <w:r w:rsidR="00535B2C" w:rsidRPr="00D51850">
        <w:rPr>
          <w:color w:val="0F243E" w:themeColor="text2" w:themeShade="80"/>
          <w:szCs w:val="24"/>
        </w:rPr>
        <w:t xml:space="preserve">The Parliament calls on the Commission and Member States to </w:t>
      </w:r>
      <w:r w:rsidR="00535B2C" w:rsidRPr="00D51850">
        <w:rPr>
          <w:i/>
          <w:color w:val="0F243E" w:themeColor="text2" w:themeShade="80"/>
          <w:szCs w:val="24"/>
        </w:rPr>
        <w:t>implement</w:t>
      </w:r>
      <w:r w:rsidR="00535B2C" w:rsidRPr="00D51850">
        <w:rPr>
          <w:color w:val="0F243E" w:themeColor="text2" w:themeShade="80"/>
          <w:szCs w:val="24"/>
        </w:rPr>
        <w:t xml:space="preserve"> the UN High-Level Panel recommendations.</w:t>
      </w:r>
    </w:p>
    <w:p w14:paraId="250F9D72" w14:textId="7F6BA6BC" w:rsidR="00F6180E" w:rsidRPr="0038165E" w:rsidRDefault="00F6180E" w:rsidP="0038165E">
      <w:pPr>
        <w:pStyle w:val="Heading2"/>
        <w:numPr>
          <w:ilvl w:val="0"/>
          <w:numId w:val="0"/>
        </w:numPr>
        <w:spacing w:before="120" w:after="120" w:line="240" w:lineRule="auto"/>
        <w:rPr>
          <w:caps w:val="0"/>
          <w:sz w:val="24"/>
        </w:rPr>
      </w:pPr>
      <w:bookmarkStart w:id="10" w:name="_Toc511039282"/>
      <w:r w:rsidRPr="0038165E">
        <w:rPr>
          <w:caps w:val="0"/>
          <w:sz w:val="24"/>
        </w:rPr>
        <w:t xml:space="preserve">The European Commission: </w:t>
      </w:r>
      <w:r w:rsidR="00E91BA6" w:rsidRPr="0038165E">
        <w:rPr>
          <w:caps w:val="0"/>
          <w:sz w:val="24"/>
        </w:rPr>
        <w:t xml:space="preserve">policy </w:t>
      </w:r>
      <w:r w:rsidRPr="0038165E">
        <w:rPr>
          <w:caps w:val="0"/>
          <w:sz w:val="24"/>
        </w:rPr>
        <w:t>analysis</w:t>
      </w:r>
      <w:bookmarkEnd w:id="10"/>
      <w:r w:rsidRPr="0038165E">
        <w:rPr>
          <w:caps w:val="0"/>
          <w:sz w:val="24"/>
        </w:rPr>
        <w:t xml:space="preserve"> </w:t>
      </w:r>
    </w:p>
    <w:p w14:paraId="714D5D95" w14:textId="4935C086" w:rsidR="004406E6" w:rsidRPr="00D51850" w:rsidRDefault="004406E6" w:rsidP="004406E6">
      <w:pPr>
        <w:spacing w:after="120" w:line="276" w:lineRule="auto"/>
        <w:jc w:val="both"/>
        <w:rPr>
          <w:color w:val="0F243E" w:themeColor="text2" w:themeShade="80"/>
        </w:rPr>
      </w:pPr>
      <w:r w:rsidRPr="00D51850">
        <w:rPr>
          <w:i/>
          <w:color w:val="0F243E" w:themeColor="text2" w:themeShade="80"/>
        </w:rPr>
        <w:t xml:space="preserve">The </w:t>
      </w:r>
      <w:r w:rsidR="00F6180E" w:rsidRPr="00D51850">
        <w:rPr>
          <w:i/>
          <w:color w:val="0F243E" w:themeColor="text2" w:themeShade="80"/>
        </w:rPr>
        <w:t>European Commission</w:t>
      </w:r>
      <w:r w:rsidR="0063490F" w:rsidRPr="00D51850">
        <w:rPr>
          <w:color w:val="0F243E" w:themeColor="text2" w:themeShade="80"/>
        </w:rPr>
        <w:t xml:space="preserve"> </w:t>
      </w:r>
      <w:r w:rsidR="0063490F" w:rsidRPr="00D51850">
        <w:rPr>
          <w:b/>
          <w:color w:val="0F243E" w:themeColor="text2" w:themeShade="80"/>
        </w:rPr>
        <w:t>analysis</w:t>
      </w:r>
      <w:r w:rsidR="005B5BBF" w:rsidRPr="00D51850">
        <w:rPr>
          <w:b/>
          <w:color w:val="0F243E" w:themeColor="text2" w:themeShade="80"/>
        </w:rPr>
        <w:t xml:space="preserve"> of pharmaceutical incentives</w:t>
      </w:r>
      <w:r w:rsidR="004D4372" w:rsidRPr="00D51850">
        <w:rPr>
          <w:color w:val="0F243E" w:themeColor="text2" w:themeShade="80"/>
        </w:rPr>
        <w:t xml:space="preserve"> requested by the Council</w:t>
      </w:r>
      <w:r w:rsidR="0063490F" w:rsidRPr="00D51850">
        <w:rPr>
          <w:color w:val="0F243E" w:themeColor="text2" w:themeShade="80"/>
        </w:rPr>
        <w:t xml:space="preserve"> </w:t>
      </w:r>
      <w:r w:rsidRPr="00D51850">
        <w:rPr>
          <w:color w:val="0F243E" w:themeColor="text2" w:themeShade="80"/>
        </w:rPr>
        <w:t>is currently underway</w:t>
      </w:r>
      <w:r w:rsidR="00F6180E" w:rsidRPr="00D51850">
        <w:rPr>
          <w:color w:val="0F243E" w:themeColor="text2" w:themeShade="80"/>
        </w:rPr>
        <w:t>.</w:t>
      </w:r>
      <w:r w:rsidR="00745AE9" w:rsidRPr="00D51850">
        <w:rPr>
          <w:color w:val="0F243E" w:themeColor="text2" w:themeShade="80"/>
        </w:rPr>
        <w:t xml:space="preserve"> Part of the study has been published</w:t>
      </w:r>
      <w:r w:rsidRPr="00D51850">
        <w:rPr>
          <w:color w:val="0F243E" w:themeColor="text2" w:themeShade="80"/>
        </w:rPr>
        <w:t xml:space="preserve"> at the time of writing</w:t>
      </w:r>
      <w:r w:rsidRPr="00D51850">
        <w:rPr>
          <w:rStyle w:val="FootnoteReference"/>
          <w:color w:val="0F243E" w:themeColor="text2" w:themeShade="80"/>
        </w:rPr>
        <w:footnoteReference w:id="7"/>
      </w:r>
      <w:r w:rsidR="00745AE9" w:rsidRPr="00D51850">
        <w:rPr>
          <w:color w:val="0F243E" w:themeColor="text2" w:themeShade="80"/>
        </w:rPr>
        <w:t>, and a final report is awaited in 2018.</w:t>
      </w:r>
      <w:r w:rsidRPr="00D51850">
        <w:rPr>
          <w:color w:val="0F243E" w:themeColor="text2" w:themeShade="80"/>
        </w:rPr>
        <w:t xml:space="preserve"> The study will include the following elements:</w:t>
      </w:r>
    </w:p>
    <w:p w14:paraId="400C014F" w14:textId="447CC251" w:rsidR="004406E6" w:rsidRPr="00D51850" w:rsidRDefault="004406E6" w:rsidP="003B3663">
      <w:pPr>
        <w:pStyle w:val="ListParagraph"/>
        <w:numPr>
          <w:ilvl w:val="0"/>
          <w:numId w:val="6"/>
        </w:numPr>
        <w:spacing w:after="120"/>
        <w:jc w:val="both"/>
        <w:rPr>
          <w:color w:val="0F243E" w:themeColor="text2" w:themeShade="80"/>
        </w:rPr>
      </w:pPr>
      <w:r w:rsidRPr="00D51850">
        <w:rPr>
          <w:color w:val="0F243E" w:themeColor="text2" w:themeShade="80"/>
        </w:rPr>
        <w:t xml:space="preserve">An overview of the current EU legislative instruments and incentives for investment in pharmaceutical </w:t>
      </w:r>
      <w:r w:rsidR="00E91BA6" w:rsidRPr="00D51850">
        <w:rPr>
          <w:color w:val="0F243E" w:themeColor="text2" w:themeShade="80"/>
        </w:rPr>
        <w:t xml:space="preserve">research and development </w:t>
      </w:r>
      <w:r w:rsidRPr="00D51850">
        <w:rPr>
          <w:color w:val="0F243E" w:themeColor="text2" w:themeShade="80"/>
        </w:rPr>
        <w:t>and marketing authorizations, under Directive 2001/83/EC and Regulation EC 726/2004 on medicinal products for human use; Regulation EC 141/2000 on orphan medicine</w:t>
      </w:r>
      <w:r w:rsidR="00E91BA6" w:rsidRPr="00D51850">
        <w:rPr>
          <w:color w:val="0F243E" w:themeColor="text2" w:themeShade="80"/>
        </w:rPr>
        <w:t>s</w:t>
      </w:r>
      <w:r w:rsidRPr="00D51850">
        <w:rPr>
          <w:color w:val="0F243E" w:themeColor="text2" w:themeShade="80"/>
        </w:rPr>
        <w:t>; and Regulation EC 1901/2006 on p</w:t>
      </w:r>
      <w:r w:rsidR="00E91BA6" w:rsidRPr="00D51850">
        <w:rPr>
          <w:color w:val="0F243E" w:themeColor="text2" w:themeShade="80"/>
        </w:rPr>
        <w:t>a</w:t>
      </w:r>
      <w:r w:rsidRPr="00D51850">
        <w:rPr>
          <w:color w:val="0F243E" w:themeColor="text2" w:themeShade="80"/>
        </w:rPr>
        <w:t xml:space="preserve">ediatric medicines; and </w:t>
      </w:r>
    </w:p>
    <w:p w14:paraId="279B07FF" w14:textId="77777777" w:rsidR="004406E6" w:rsidRPr="00D51850" w:rsidRDefault="004406E6" w:rsidP="003B3663">
      <w:pPr>
        <w:pStyle w:val="ListParagraph"/>
        <w:numPr>
          <w:ilvl w:val="0"/>
          <w:numId w:val="6"/>
        </w:numPr>
        <w:spacing w:after="120"/>
        <w:jc w:val="both"/>
        <w:rPr>
          <w:color w:val="0F243E" w:themeColor="text2" w:themeShade="80"/>
        </w:rPr>
      </w:pPr>
      <w:r w:rsidRPr="00D51850">
        <w:rPr>
          <w:color w:val="0F243E" w:themeColor="text2" w:themeShade="80"/>
        </w:rPr>
        <w:t xml:space="preserve">An evidence-based analysis of the impact of the incentives on innovation, availability (incl. shortages or delayed/missed launch), and accessibility of medicines. This should include “high priced essential medicinal products for conditions that pose a high burden for patients and health systems as well as availability of generic medicinal products.” </w:t>
      </w:r>
    </w:p>
    <w:p w14:paraId="018E8261" w14:textId="6555F7DF" w:rsidR="004406E6" w:rsidRPr="00D51850" w:rsidRDefault="0063490F" w:rsidP="003B3663">
      <w:pPr>
        <w:pStyle w:val="ListParagraph"/>
        <w:numPr>
          <w:ilvl w:val="0"/>
          <w:numId w:val="6"/>
        </w:numPr>
        <w:spacing w:after="120"/>
        <w:jc w:val="both"/>
        <w:rPr>
          <w:color w:val="0F243E" w:themeColor="text2" w:themeShade="80"/>
        </w:rPr>
      </w:pPr>
      <w:r w:rsidRPr="00D51850">
        <w:rPr>
          <w:color w:val="0F243E" w:themeColor="text2" w:themeShade="80"/>
        </w:rPr>
        <w:t xml:space="preserve">Use of the supplementary protection certificate, </w:t>
      </w:r>
      <w:r w:rsidR="004406E6" w:rsidRPr="00D51850">
        <w:rPr>
          <w:color w:val="0F243E" w:themeColor="text2" w:themeShade="80"/>
        </w:rPr>
        <w:t>patent exemptions</w:t>
      </w:r>
      <w:r w:rsidRPr="00D51850">
        <w:rPr>
          <w:color w:val="0F243E" w:themeColor="text2" w:themeShade="80"/>
        </w:rPr>
        <w:t>, particularly the “</w:t>
      </w:r>
      <w:proofErr w:type="spellStart"/>
      <w:r w:rsidR="004406E6" w:rsidRPr="00D51850">
        <w:rPr>
          <w:color w:val="0F243E" w:themeColor="text2" w:themeShade="80"/>
        </w:rPr>
        <w:t>Bolar</w:t>
      </w:r>
      <w:proofErr w:type="spellEnd"/>
      <w:r w:rsidRPr="00D51850">
        <w:rPr>
          <w:color w:val="0F243E" w:themeColor="text2" w:themeShade="80"/>
        </w:rPr>
        <w:t>”</w:t>
      </w:r>
      <w:r w:rsidR="004406E6" w:rsidRPr="00D51850">
        <w:rPr>
          <w:color w:val="0F243E" w:themeColor="text2" w:themeShade="80"/>
        </w:rPr>
        <w:t>), data exclusivity generally</w:t>
      </w:r>
      <w:r w:rsidRPr="00D51850">
        <w:rPr>
          <w:color w:val="0F243E" w:themeColor="text2" w:themeShade="80"/>
        </w:rPr>
        <w:t>,</w:t>
      </w:r>
      <w:r w:rsidR="004406E6" w:rsidRPr="00D51850">
        <w:rPr>
          <w:color w:val="0F243E" w:themeColor="text2" w:themeShade="80"/>
        </w:rPr>
        <w:t xml:space="preserve"> and exclusivity for orphan medicines specifically. </w:t>
      </w:r>
    </w:p>
    <w:p w14:paraId="48FE1D5C" w14:textId="2C8C441A" w:rsidR="00F6180E" w:rsidRPr="00D51850" w:rsidRDefault="00F6180E" w:rsidP="00F6180E">
      <w:pPr>
        <w:spacing w:after="120" w:line="276" w:lineRule="auto"/>
        <w:jc w:val="both"/>
        <w:rPr>
          <w:color w:val="0F243E" w:themeColor="text2" w:themeShade="80"/>
        </w:rPr>
      </w:pPr>
      <w:r w:rsidRPr="00D51850">
        <w:rPr>
          <w:color w:val="0F243E" w:themeColor="text2" w:themeShade="80"/>
        </w:rPr>
        <w:t>The aim of the analysis</w:t>
      </w:r>
      <w:r w:rsidR="00E91BA6" w:rsidRPr="00D51850">
        <w:rPr>
          <w:color w:val="0F243E" w:themeColor="text2" w:themeShade="80"/>
        </w:rPr>
        <w:t>,</w:t>
      </w:r>
      <w:r w:rsidRPr="00D51850">
        <w:rPr>
          <w:color w:val="0F243E" w:themeColor="text2" w:themeShade="80"/>
        </w:rPr>
        <w:t xml:space="preserve"> </w:t>
      </w:r>
      <w:r w:rsidR="00745AE9" w:rsidRPr="00D51850">
        <w:rPr>
          <w:color w:val="0F243E" w:themeColor="text2" w:themeShade="80"/>
        </w:rPr>
        <w:t>as stated by Commission officials</w:t>
      </w:r>
      <w:r w:rsidR="00E91BA6" w:rsidRPr="00D51850">
        <w:rPr>
          <w:color w:val="0F243E" w:themeColor="text2" w:themeShade="80"/>
        </w:rPr>
        <w:t>,</w:t>
      </w:r>
      <w:r w:rsidR="00745AE9" w:rsidRPr="00D51850">
        <w:rPr>
          <w:color w:val="0F243E" w:themeColor="text2" w:themeShade="80"/>
        </w:rPr>
        <w:t xml:space="preserve"> </w:t>
      </w:r>
      <w:r w:rsidRPr="00D51850">
        <w:rPr>
          <w:color w:val="0F243E" w:themeColor="text2" w:themeShade="80"/>
        </w:rPr>
        <w:t xml:space="preserve">is not to dismantle the incentives framework, but to understand better </w:t>
      </w:r>
      <w:r w:rsidR="00745AE9" w:rsidRPr="00D51850">
        <w:rPr>
          <w:color w:val="0F243E" w:themeColor="text2" w:themeShade="80"/>
        </w:rPr>
        <w:t>the</w:t>
      </w:r>
      <w:r w:rsidRPr="00D51850">
        <w:rPr>
          <w:color w:val="0F243E" w:themeColor="text2" w:themeShade="80"/>
        </w:rPr>
        <w:t xml:space="preserve"> link</w:t>
      </w:r>
      <w:r w:rsidR="00745AE9" w:rsidRPr="00D51850">
        <w:rPr>
          <w:color w:val="0F243E" w:themeColor="text2" w:themeShade="80"/>
        </w:rPr>
        <w:t>s</w:t>
      </w:r>
      <w:r w:rsidRPr="00D51850">
        <w:rPr>
          <w:color w:val="0F243E" w:themeColor="text2" w:themeShade="80"/>
        </w:rPr>
        <w:t xml:space="preserve"> with prices and ultimately </w:t>
      </w:r>
      <w:r w:rsidR="00745AE9" w:rsidRPr="00D51850">
        <w:rPr>
          <w:color w:val="0F243E" w:themeColor="text2" w:themeShade="80"/>
        </w:rPr>
        <w:t xml:space="preserve">impact on </w:t>
      </w:r>
      <w:r w:rsidRPr="00D51850">
        <w:rPr>
          <w:color w:val="0F243E" w:themeColor="text2" w:themeShade="80"/>
        </w:rPr>
        <w:t xml:space="preserve">access. The Commission has explained that </w:t>
      </w:r>
      <w:r w:rsidR="004D4372" w:rsidRPr="00D51850">
        <w:rPr>
          <w:color w:val="0F243E" w:themeColor="text2" w:themeShade="80"/>
        </w:rPr>
        <w:t>“</w:t>
      </w:r>
      <w:r w:rsidRPr="00D51850">
        <w:rPr>
          <w:color w:val="0F243E" w:themeColor="text2" w:themeShade="80"/>
        </w:rPr>
        <w:t>privileges granted by IP rights to pharmaceutical companies should translate into innovation that is accessible to people across Europe</w:t>
      </w:r>
      <w:r w:rsidR="004D4372" w:rsidRPr="00D51850">
        <w:rPr>
          <w:color w:val="0F243E" w:themeColor="text2" w:themeShade="80"/>
        </w:rPr>
        <w:t>”</w:t>
      </w:r>
      <w:r w:rsidRPr="00D51850">
        <w:rPr>
          <w:color w:val="0F243E" w:themeColor="text2" w:themeShade="80"/>
        </w:rPr>
        <w:t xml:space="preserve">. </w:t>
      </w:r>
    </w:p>
    <w:p w14:paraId="0DFD89B7" w14:textId="192DDF8D" w:rsidR="00F6180E" w:rsidRDefault="004D4372" w:rsidP="00D51850">
      <w:pPr>
        <w:spacing w:after="240" w:line="276" w:lineRule="auto"/>
        <w:jc w:val="both"/>
        <w:rPr>
          <w:color w:val="0F243E" w:themeColor="text2" w:themeShade="80"/>
        </w:rPr>
      </w:pPr>
      <w:r w:rsidRPr="00D51850">
        <w:rPr>
          <w:color w:val="0F243E" w:themeColor="text2" w:themeShade="80"/>
        </w:rPr>
        <w:t xml:space="preserve">The overall analysis will take into account other studies published by the Commission, such as one </w:t>
      </w:r>
      <w:r w:rsidR="005B5BBF" w:rsidRPr="00D51850">
        <w:rPr>
          <w:color w:val="0F243E" w:themeColor="text2" w:themeShade="80"/>
        </w:rPr>
        <w:t xml:space="preserve">on the economic impact of the </w:t>
      </w:r>
      <w:r w:rsidR="005B5BBF" w:rsidRPr="00D51850">
        <w:rPr>
          <w:i/>
          <w:color w:val="0F243E" w:themeColor="text2" w:themeShade="80"/>
        </w:rPr>
        <w:t>Paediatric Regulation</w:t>
      </w:r>
      <w:r w:rsidR="005B5BBF" w:rsidRPr="00D51850">
        <w:rPr>
          <w:color w:val="0F243E" w:themeColor="text2" w:themeShade="80"/>
        </w:rPr>
        <w:t xml:space="preserve"> (December 2016), which looked at different </w:t>
      </w:r>
      <w:r w:rsidR="005B5BBF" w:rsidRPr="00D51850">
        <w:rPr>
          <w:color w:val="0F243E" w:themeColor="text2" w:themeShade="80"/>
        </w:rPr>
        <w:lastRenderedPageBreak/>
        <w:t>aspects of the Regulation including regulatory costs and economic value to the industry as well as direct and indirect social and economic benefits</w:t>
      </w:r>
      <w:r w:rsidRPr="00D51850">
        <w:rPr>
          <w:color w:val="0F243E" w:themeColor="text2" w:themeShade="80"/>
        </w:rPr>
        <w:t xml:space="preserve">; and a gap analysis for </w:t>
      </w:r>
      <w:r w:rsidR="005D533D" w:rsidRPr="00D51850">
        <w:rPr>
          <w:color w:val="0F243E" w:themeColor="text2" w:themeShade="80"/>
        </w:rPr>
        <w:t xml:space="preserve">the evaluation of </w:t>
      </w:r>
      <w:r w:rsidR="005D533D" w:rsidRPr="00D51850">
        <w:rPr>
          <w:i/>
          <w:color w:val="0F243E" w:themeColor="text2" w:themeShade="80"/>
        </w:rPr>
        <w:t>orphan medicines</w:t>
      </w:r>
      <w:r w:rsidR="005D533D" w:rsidRPr="00D51850">
        <w:rPr>
          <w:color w:val="0F243E" w:themeColor="text2" w:themeShade="80"/>
        </w:rPr>
        <w:t xml:space="preserve">, having published roadmap in November 2017. </w:t>
      </w:r>
      <w:r w:rsidRPr="00D51850">
        <w:rPr>
          <w:color w:val="0F243E" w:themeColor="text2" w:themeShade="80"/>
        </w:rPr>
        <w:t>(</w:t>
      </w:r>
      <w:r w:rsidR="005D533D" w:rsidRPr="00D51850">
        <w:rPr>
          <w:color w:val="0F243E" w:themeColor="text2" w:themeShade="80"/>
        </w:rPr>
        <w:t>This study will take place in 2018-2019 in consultation with various stakeholders.</w:t>
      </w:r>
      <w:r w:rsidRPr="00D51850">
        <w:rPr>
          <w:color w:val="0F243E" w:themeColor="text2" w:themeShade="80"/>
        </w:rPr>
        <w:t>)</w:t>
      </w:r>
      <w:r w:rsidR="00D51850">
        <w:rPr>
          <w:rStyle w:val="FootnoteReference"/>
          <w:color w:val="0F243E" w:themeColor="text2" w:themeShade="80"/>
        </w:rPr>
        <w:footnoteReference w:id="8"/>
      </w:r>
      <w:r w:rsidR="005D533D" w:rsidRPr="00D51850">
        <w:rPr>
          <w:color w:val="0F243E" w:themeColor="text2" w:themeShade="80"/>
        </w:rPr>
        <w:t xml:space="preserve"> </w:t>
      </w:r>
    </w:p>
    <w:p w14:paraId="34DD4F1D" w14:textId="7905F2B4" w:rsidR="00103D7F" w:rsidRPr="00103D7F" w:rsidRDefault="00103D7F" w:rsidP="00D51850">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1BA40734" w14:textId="2FA3D64B" w:rsidR="00421B64" w:rsidRPr="00C0566A" w:rsidRDefault="00B902D0">
      <w:pPr>
        <w:pStyle w:val="Heading2"/>
        <w:numPr>
          <w:ilvl w:val="1"/>
          <w:numId w:val="0"/>
        </w:numPr>
        <w:spacing w:before="120" w:after="120" w:line="240" w:lineRule="auto"/>
        <w:rPr>
          <w:caps w:val="0"/>
          <w:color w:val="365F90"/>
          <w:sz w:val="32"/>
          <w:szCs w:val="30"/>
        </w:rPr>
      </w:pPr>
      <w:bookmarkStart w:id="11" w:name="_Toc511039283"/>
      <w:r w:rsidRPr="00CA39D8">
        <w:rPr>
          <w:caps w:val="0"/>
          <w:color w:val="365F90"/>
          <w:sz w:val="32"/>
          <w:szCs w:val="30"/>
        </w:rPr>
        <w:t xml:space="preserve">Current pricing models do not </w:t>
      </w:r>
      <w:r w:rsidR="004B2AE9" w:rsidRPr="00CA39D8">
        <w:rPr>
          <w:caps w:val="0"/>
          <w:color w:val="365F90"/>
          <w:sz w:val="32"/>
          <w:szCs w:val="30"/>
        </w:rPr>
        <w:t>support equitable access</w:t>
      </w:r>
      <w:bookmarkEnd w:id="11"/>
    </w:p>
    <w:p w14:paraId="7EB520F8" w14:textId="22515ADD" w:rsidR="00421B64" w:rsidRPr="00782FC3" w:rsidRDefault="00B902D0">
      <w:pPr>
        <w:spacing w:after="120" w:line="276" w:lineRule="auto"/>
        <w:jc w:val="both"/>
        <w:rPr>
          <w:rFonts w:cs="Arial"/>
          <w:szCs w:val="24"/>
        </w:rPr>
      </w:pPr>
      <w:r w:rsidRPr="00782FC3">
        <w:rPr>
          <w:rFonts w:cs="Arial"/>
          <w:szCs w:val="24"/>
        </w:rPr>
        <w:t xml:space="preserve">Many now believe that new medicines are too expensive and threaten </w:t>
      </w:r>
      <w:r w:rsidR="001757B6" w:rsidRPr="00782FC3">
        <w:rPr>
          <w:rFonts w:cs="Arial"/>
          <w:szCs w:val="24"/>
        </w:rPr>
        <w:t xml:space="preserve">not only </w:t>
      </w:r>
      <w:r w:rsidRPr="00782FC3">
        <w:rPr>
          <w:rFonts w:cs="Arial"/>
          <w:szCs w:val="24"/>
        </w:rPr>
        <w:t xml:space="preserve">equity of access but also the long-term sustainability of European health and social systems. </w:t>
      </w:r>
      <w:r w:rsidR="001D08F9" w:rsidRPr="00782FC3">
        <w:rPr>
          <w:rFonts w:cs="Arial"/>
          <w:szCs w:val="24"/>
        </w:rPr>
        <w:t>H</w:t>
      </w:r>
      <w:r w:rsidRPr="00782FC3">
        <w:rPr>
          <w:rFonts w:cs="Arial"/>
          <w:szCs w:val="24"/>
        </w:rPr>
        <w:t>ealthcare systems are confronted by conflicting aims – providing equitable access to innovative medicines, whilst preventing an</w:t>
      </w:r>
      <w:r w:rsidR="00AA4DA3" w:rsidRPr="00782FC3">
        <w:rPr>
          <w:rFonts w:cs="Arial"/>
          <w:szCs w:val="24"/>
        </w:rPr>
        <w:t xml:space="preserve"> unacceptable </w:t>
      </w:r>
      <w:r w:rsidRPr="00782FC3">
        <w:rPr>
          <w:rFonts w:cs="Arial"/>
          <w:szCs w:val="24"/>
        </w:rPr>
        <w:t xml:space="preserve">escalation of costs. Unfortunately, too often they try to balance this by passing more of the cost of the medicines on to patients – through restricting reimbursement or increasing co-payments – strategies which are not only unacceptable from an equity perspective but also counterproductive, as they </w:t>
      </w:r>
      <w:r w:rsidR="00AA4DA3" w:rsidRPr="00782FC3">
        <w:rPr>
          <w:rFonts w:cs="Arial"/>
          <w:szCs w:val="24"/>
        </w:rPr>
        <w:t xml:space="preserve">worsen health outcomes and </w:t>
      </w:r>
      <w:r w:rsidRPr="00782FC3">
        <w:rPr>
          <w:rFonts w:cs="Arial"/>
          <w:szCs w:val="24"/>
        </w:rPr>
        <w:t>exacerbate societal inequalities.</w:t>
      </w:r>
      <w:r w:rsidR="00B12BAB" w:rsidRPr="00B12BAB">
        <w:t xml:space="preserve"> </w:t>
      </w:r>
      <w:r w:rsidR="00B12BAB" w:rsidRPr="00FE4157">
        <w:rPr>
          <w:color w:val="244061" w:themeColor="accent1" w:themeShade="80"/>
        </w:rPr>
        <w:t>E</w:t>
      </w:r>
      <w:r w:rsidR="00B12BAB" w:rsidRPr="00FE4157">
        <w:rPr>
          <w:rFonts w:cs="Arial"/>
          <w:color w:val="244061" w:themeColor="accent1" w:themeShade="80"/>
          <w:szCs w:val="24"/>
        </w:rPr>
        <w:t xml:space="preserve">specially in poorer EU states, patients have lower incomes and thus higher risk of poverty due to co-payment costs for healthcare and medicines. </w:t>
      </w:r>
      <w:r w:rsidRPr="00782FC3">
        <w:rPr>
          <w:rFonts w:cs="Arial"/>
          <w:szCs w:val="24"/>
        </w:rPr>
        <w:t>Similarly</w:t>
      </w:r>
      <w:r w:rsidR="00B12BAB">
        <w:rPr>
          <w:rFonts w:cs="Arial"/>
          <w:szCs w:val="24"/>
        </w:rPr>
        <w:t>,</w:t>
      </w:r>
      <w:r w:rsidRPr="00782FC3">
        <w:rPr>
          <w:rFonts w:cs="Arial"/>
          <w:szCs w:val="24"/>
        </w:rPr>
        <w:t xml:space="preserve"> rationing</w:t>
      </w:r>
      <w:r w:rsidR="00B12BAB">
        <w:rPr>
          <w:rFonts w:cs="Arial"/>
          <w:szCs w:val="24"/>
        </w:rPr>
        <w:t xml:space="preserve"> (</w:t>
      </w:r>
      <w:r w:rsidRPr="00782FC3">
        <w:rPr>
          <w:rFonts w:cs="Arial"/>
          <w:szCs w:val="24"/>
        </w:rPr>
        <w:t>limiting access to a defined number of patients for economic reasons</w:t>
      </w:r>
      <w:r w:rsidR="00B12BAB">
        <w:rPr>
          <w:rFonts w:cs="Arial"/>
          <w:szCs w:val="24"/>
        </w:rPr>
        <w:t>)</w:t>
      </w:r>
      <w:r w:rsidRPr="00782FC3">
        <w:rPr>
          <w:rFonts w:cs="Arial"/>
          <w:szCs w:val="24"/>
        </w:rPr>
        <w:t xml:space="preserve"> undermines the principles of solidarity and equity. It existentially threatens the interests of the patients denied access </w:t>
      </w:r>
      <w:r w:rsidR="00AA4DA3" w:rsidRPr="00782FC3">
        <w:rPr>
          <w:rFonts w:cs="Arial"/>
          <w:szCs w:val="24"/>
        </w:rPr>
        <w:t>despite</w:t>
      </w:r>
      <w:r w:rsidRPr="00782FC3">
        <w:rPr>
          <w:rFonts w:cs="Arial"/>
          <w:szCs w:val="24"/>
        </w:rPr>
        <w:t xml:space="preserve"> medical needs. </w:t>
      </w:r>
    </w:p>
    <w:p w14:paraId="05BEBB17" w14:textId="3FD80D73" w:rsidR="00421B64" w:rsidRPr="00782FC3" w:rsidRDefault="00B902D0">
      <w:pPr>
        <w:spacing w:after="120" w:line="276" w:lineRule="auto"/>
        <w:jc w:val="both"/>
        <w:rPr>
          <w:rFonts w:cs="Arial"/>
          <w:szCs w:val="24"/>
        </w:rPr>
      </w:pPr>
      <w:r w:rsidRPr="00782FC3">
        <w:rPr>
          <w:rFonts w:cs="Arial"/>
          <w:szCs w:val="24"/>
        </w:rPr>
        <w:t xml:space="preserve">In an effort to try to drive down the prices of medicines,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 xml:space="preserve">tates practise </w:t>
      </w:r>
      <w:r w:rsidRPr="00D44523">
        <w:rPr>
          <w:rFonts w:cs="Arial"/>
          <w:i/>
          <w:szCs w:val="24"/>
        </w:rPr>
        <w:t>external reference pricing (ERP).</w:t>
      </w:r>
      <w:r w:rsidR="001D08F9" w:rsidRPr="00D44523">
        <w:rPr>
          <w:rStyle w:val="FootnoteReference"/>
          <w:rFonts w:cs="Arial"/>
          <w:szCs w:val="24"/>
        </w:rPr>
        <w:footnoteReference w:id="9"/>
      </w:r>
      <w:r w:rsidR="001D08F9" w:rsidRPr="00D44523">
        <w:rPr>
          <w:rFonts w:cs="Arial"/>
          <w:szCs w:val="24"/>
          <w:vertAlign w:val="superscript"/>
        </w:rPr>
        <w:t>,</w:t>
      </w:r>
      <w:r w:rsidRPr="00D44523">
        <w:rPr>
          <w:rStyle w:val="EndnoteReference"/>
          <w:rFonts w:cs="Arial"/>
          <w:szCs w:val="24"/>
        </w:rPr>
        <w:endnoteReference w:id="19"/>
      </w:r>
      <w:r w:rsidRPr="00D44523">
        <w:rPr>
          <w:rFonts w:cs="Arial"/>
          <w:szCs w:val="24"/>
        </w:rPr>
        <w:t xml:space="preserve"> </w:t>
      </w:r>
      <w:r w:rsidRPr="00782FC3">
        <w:rPr>
          <w:rFonts w:cs="Arial"/>
          <w:szCs w:val="24"/>
        </w:rPr>
        <w:t>Whilst this may generate savings and room for shifting costs</w:t>
      </w:r>
      <w:r w:rsidR="00FF5819" w:rsidRPr="00782FC3">
        <w:rPr>
          <w:rFonts w:cs="Arial"/>
          <w:szCs w:val="24"/>
        </w:rPr>
        <w:t xml:space="preserve"> </w:t>
      </w:r>
      <w:r w:rsidRPr="00782FC3">
        <w:rPr>
          <w:rFonts w:cs="Arial"/>
          <w:szCs w:val="24"/>
        </w:rPr>
        <w:t xml:space="preserve">in the short term, it has significant disadvantages for patient access, particularly in poorer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 xml:space="preserve">tates: companies adapt their market strategies to launch products in high-paying countries first, creating delays in patients’ access in other </w:t>
      </w:r>
      <w:r w:rsidR="00FF5819" w:rsidRPr="00782FC3">
        <w:rPr>
          <w:rFonts w:cs="Arial"/>
          <w:szCs w:val="24"/>
        </w:rPr>
        <w:t>countries</w:t>
      </w:r>
      <w:r w:rsidRPr="00782FC3">
        <w:rPr>
          <w:rFonts w:cs="Arial"/>
          <w:szCs w:val="24"/>
        </w:rPr>
        <w:t>. Sometimes a company</w:t>
      </w:r>
      <w:r w:rsidR="00DF2EF9" w:rsidRPr="00782FC3">
        <w:rPr>
          <w:rFonts w:cs="Arial"/>
          <w:szCs w:val="24"/>
        </w:rPr>
        <w:t xml:space="preserve"> may </w:t>
      </w:r>
      <w:r w:rsidRPr="00782FC3">
        <w:rPr>
          <w:rFonts w:cs="Arial"/>
          <w:szCs w:val="24"/>
        </w:rPr>
        <w:t>decide not to launch a product at all in a number of countries, if it is not deemed commercially worthwhile. ERP may also lead to price convergence, which can disadvantage countries with already low health budgets (and average patient income)</w:t>
      </w:r>
      <w:r w:rsidR="00FF5819" w:rsidRPr="00782FC3">
        <w:rPr>
          <w:rFonts w:cs="Arial"/>
          <w:szCs w:val="24"/>
        </w:rPr>
        <w:t xml:space="preserve">, which </w:t>
      </w:r>
      <w:r w:rsidRPr="00782FC3">
        <w:rPr>
          <w:rFonts w:cs="Arial"/>
          <w:szCs w:val="24"/>
        </w:rPr>
        <w:t>will pay a higher price than if they did not use reference pricing.</w:t>
      </w:r>
      <w:r w:rsidRPr="00782FC3">
        <w:rPr>
          <w:rFonts w:cs="Arial"/>
          <w:szCs w:val="24"/>
          <w:vertAlign w:val="superscript"/>
        </w:rPr>
        <w:t xml:space="preserve"> </w:t>
      </w:r>
      <w:r w:rsidRPr="00782FC3">
        <w:rPr>
          <w:rStyle w:val="EndnoteReference"/>
          <w:rFonts w:cs="Arial"/>
          <w:szCs w:val="24"/>
        </w:rPr>
        <w:endnoteReference w:id="20"/>
      </w:r>
    </w:p>
    <w:p w14:paraId="274C8952" w14:textId="77777777" w:rsidR="00D44523" w:rsidRDefault="00B902D0" w:rsidP="00D44523">
      <w:pPr>
        <w:spacing w:after="120" w:line="276" w:lineRule="auto"/>
        <w:jc w:val="both"/>
        <w:rPr>
          <w:rFonts w:cs="Arial"/>
          <w:szCs w:val="24"/>
        </w:rPr>
      </w:pPr>
      <w:r w:rsidRPr="00D44523">
        <w:rPr>
          <w:rFonts w:cs="Arial"/>
          <w:i/>
          <w:szCs w:val="24"/>
        </w:rPr>
        <w:t>Differential pricing</w:t>
      </w:r>
      <w:r w:rsidRPr="00782FC3">
        <w:rPr>
          <w:rFonts w:cs="Arial"/>
          <w:szCs w:val="24"/>
        </w:rPr>
        <w:t xml:space="preserve"> has been put forward as an alternative strategy.</w:t>
      </w:r>
      <w:r w:rsidRPr="00782FC3">
        <w:rPr>
          <w:rStyle w:val="EndnoteReference"/>
          <w:rFonts w:cs="Arial"/>
          <w:szCs w:val="24"/>
        </w:rPr>
        <w:endnoteReference w:id="21"/>
      </w:r>
      <w:r w:rsidRPr="00782FC3">
        <w:rPr>
          <w:rFonts w:cs="Arial"/>
          <w:szCs w:val="24"/>
        </w:rPr>
        <w:t xml:space="preserve"> Differential pricing is a strategy whereby price is set according to different economic situations between countries. Until now, it has been discussed mainly in terms of “price discrimination” – a type of pricing strategy adopted by companies to optimise market access. However, </w:t>
      </w:r>
      <w:r w:rsidRPr="00D44523">
        <w:rPr>
          <w:rFonts w:cs="Arial"/>
          <w:i/>
          <w:szCs w:val="24"/>
        </w:rPr>
        <w:t>differential pricing as a</w:t>
      </w:r>
      <w:r w:rsidRPr="00782FC3">
        <w:rPr>
          <w:rFonts w:cs="Arial"/>
          <w:szCs w:val="24"/>
        </w:rPr>
        <w:t xml:space="preserve"> </w:t>
      </w:r>
      <w:r w:rsidRPr="00782FC3">
        <w:rPr>
          <w:rFonts w:cs="Arial"/>
          <w:i/>
          <w:szCs w:val="24"/>
        </w:rPr>
        <w:t>political strategy</w:t>
      </w:r>
      <w:r w:rsidRPr="00782FC3">
        <w:rPr>
          <w:rFonts w:cs="Arial"/>
          <w:szCs w:val="24"/>
        </w:rPr>
        <w:t xml:space="preserve"> driven by collaboration between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 xml:space="preserve">tates with the aim of improving equity of access, has been less explored. </w:t>
      </w:r>
    </w:p>
    <w:p w14:paraId="223E7EED" w14:textId="1FE834EF" w:rsidR="00D44523" w:rsidRPr="00D51850" w:rsidRDefault="00D44523" w:rsidP="00D44523">
      <w:pPr>
        <w:spacing w:after="120" w:line="276" w:lineRule="auto"/>
        <w:jc w:val="both"/>
        <w:rPr>
          <w:rFonts w:cs="Arial"/>
          <w:szCs w:val="24"/>
        </w:rPr>
      </w:pPr>
      <w:r w:rsidRPr="00782FC3">
        <w:rPr>
          <w:rFonts w:cs="Arial"/>
          <w:szCs w:val="24"/>
        </w:rPr>
        <w:lastRenderedPageBreak/>
        <w:t xml:space="preserve">One major barrier for differential pricing is the existence of </w:t>
      </w:r>
      <w:r w:rsidRPr="00D44523">
        <w:rPr>
          <w:rFonts w:cs="Arial"/>
          <w:i/>
          <w:szCs w:val="24"/>
        </w:rPr>
        <w:t>parallel trade</w:t>
      </w:r>
      <w:r w:rsidRPr="00782FC3">
        <w:rPr>
          <w:rFonts w:cs="Arial"/>
          <w:i/>
          <w:szCs w:val="24"/>
        </w:rPr>
        <w:t>.</w:t>
      </w:r>
      <w:r w:rsidRPr="00782FC3">
        <w:rPr>
          <w:rStyle w:val="FootnoteReference"/>
          <w:rFonts w:cs="Arial"/>
          <w:szCs w:val="24"/>
        </w:rPr>
        <w:footnoteReference w:id="10"/>
      </w:r>
      <w:r w:rsidRPr="00782FC3">
        <w:rPr>
          <w:rFonts w:cs="Arial"/>
          <w:szCs w:val="24"/>
        </w:rPr>
        <w:t xml:space="preserve"> Parallel trade is based on the principle of free movement of goods within the internal market, but it is a factor in medicine supply shortages and may lead to reduced access. </w:t>
      </w:r>
      <w:r w:rsidRPr="00D51850">
        <w:rPr>
          <w:rFonts w:cs="Arial"/>
          <w:szCs w:val="24"/>
        </w:rPr>
        <w:t>EPF believes that Member States should prioritise the interests of patients’ and public health over the internal market, and take action to limit the negative impacts of parallel trade where necessary. Member States would have to agree to limit external referencing for those medicines where a differential strategy would be adopted; as well as address other possible practical issues.</w:t>
      </w:r>
      <w:r w:rsidR="00FE4157">
        <w:rPr>
          <w:rFonts w:cs="Arial"/>
          <w:szCs w:val="24"/>
        </w:rPr>
        <w:t xml:space="preserve"> </w:t>
      </w:r>
      <w:r w:rsidR="00FE4157" w:rsidRPr="00FE4157">
        <w:rPr>
          <w:rFonts w:cs="Arial"/>
          <w:color w:val="244061" w:themeColor="accent1" w:themeShade="80"/>
          <w:szCs w:val="24"/>
        </w:rPr>
        <w:t>Approaching the issue on a basis of solidarity across the EU would allow poorer Member States to benefit from lower prices with an agreement they should not  be referenced by richer Member States. The lower-priced countries should commit to restrict parallel trade only between themselves</w:t>
      </w:r>
      <w:r w:rsidR="00FE4157" w:rsidRPr="00FE4157">
        <w:rPr>
          <w:rFonts w:cs="Arial"/>
          <w:szCs w:val="24"/>
        </w:rPr>
        <w:t>.</w:t>
      </w:r>
    </w:p>
    <w:p w14:paraId="554909F4" w14:textId="1DDEAE4B" w:rsidR="00D44523" w:rsidRDefault="00B902D0">
      <w:pPr>
        <w:spacing w:after="120" w:line="276" w:lineRule="auto"/>
        <w:jc w:val="both"/>
        <w:rPr>
          <w:rFonts w:cs="Arial"/>
          <w:szCs w:val="24"/>
        </w:rPr>
      </w:pPr>
      <w:r w:rsidRPr="00782FC3">
        <w:rPr>
          <w:rFonts w:cs="Arial"/>
          <w:szCs w:val="24"/>
        </w:rPr>
        <w:t xml:space="preserve">Recently, </w:t>
      </w:r>
      <w:r w:rsidR="00D44523" w:rsidRPr="00635EB5">
        <w:rPr>
          <w:rFonts w:cs="Arial"/>
          <w:color w:val="0F243E" w:themeColor="text2" w:themeShade="80"/>
          <w:szCs w:val="24"/>
        </w:rPr>
        <w:t>industry has embraced</w:t>
      </w:r>
      <w:r w:rsidRPr="00635EB5">
        <w:rPr>
          <w:rFonts w:cs="Arial"/>
          <w:color w:val="0F243E" w:themeColor="text2" w:themeShade="80"/>
          <w:szCs w:val="24"/>
        </w:rPr>
        <w:t xml:space="preserve"> the concept </w:t>
      </w:r>
      <w:r w:rsidRPr="00782FC3">
        <w:rPr>
          <w:rFonts w:cs="Arial"/>
          <w:szCs w:val="24"/>
        </w:rPr>
        <w:t xml:space="preserve">of </w:t>
      </w:r>
      <w:r w:rsidR="00D44523">
        <w:rPr>
          <w:rFonts w:cs="Arial"/>
          <w:szCs w:val="24"/>
        </w:rPr>
        <w:t>“</w:t>
      </w:r>
      <w:r w:rsidRPr="00D44523">
        <w:rPr>
          <w:rFonts w:cs="Arial"/>
          <w:i/>
          <w:szCs w:val="24"/>
        </w:rPr>
        <w:t>value-based pricing</w:t>
      </w:r>
      <w:r w:rsidR="00D44523">
        <w:rPr>
          <w:rFonts w:cs="Arial"/>
          <w:szCs w:val="24"/>
        </w:rPr>
        <w:t>”</w:t>
      </w:r>
      <w:r w:rsidR="00FE4157">
        <w:rPr>
          <w:rStyle w:val="FootnoteReference"/>
          <w:rFonts w:cs="Arial"/>
          <w:szCs w:val="24"/>
        </w:rPr>
        <w:footnoteReference w:id="11"/>
      </w:r>
      <w:r w:rsidR="00D44523" w:rsidRPr="00D44523">
        <w:rPr>
          <w:rFonts w:cs="Arial"/>
          <w:szCs w:val="24"/>
        </w:rPr>
        <w:t>,</w:t>
      </w:r>
      <w:r w:rsidRPr="00782FC3">
        <w:rPr>
          <w:rFonts w:cs="Arial"/>
          <w:szCs w:val="24"/>
        </w:rPr>
        <w:t xml:space="preserve"> based on the idea that prices of medicines should be linked to the health benefit they bring. It is framed by broader discussions on the need to measure health outcomes</w:t>
      </w:r>
      <w:r w:rsidR="001757B6" w:rsidRPr="00782FC3">
        <w:rPr>
          <w:rFonts w:cs="Arial"/>
          <w:szCs w:val="24"/>
        </w:rPr>
        <w:t>,</w:t>
      </w:r>
      <w:r w:rsidRPr="00782FC3">
        <w:rPr>
          <w:rFonts w:cs="Arial"/>
          <w:szCs w:val="24"/>
        </w:rPr>
        <w:t xml:space="preserve"> generally motivated by</w:t>
      </w:r>
      <w:r w:rsidRPr="00782FC3">
        <w:rPr>
          <w:sz w:val="20"/>
        </w:rPr>
        <w:t xml:space="preserve"> </w:t>
      </w:r>
      <w:r w:rsidRPr="00782FC3">
        <w:t xml:space="preserve">the desire to improve </w:t>
      </w:r>
      <w:r w:rsidRPr="00782FC3">
        <w:rPr>
          <w:rFonts w:cs="Arial"/>
          <w:szCs w:val="24"/>
        </w:rPr>
        <w:t xml:space="preserve">the quality of care and public health as well as foster greater transparency and accountability of the health systems. It is also proposed that value-based pricing </w:t>
      </w:r>
      <w:r w:rsidR="00D44523">
        <w:rPr>
          <w:rFonts w:cs="Arial"/>
          <w:szCs w:val="24"/>
        </w:rPr>
        <w:t xml:space="preserve">could provide </w:t>
      </w:r>
      <w:r w:rsidRPr="00782FC3">
        <w:rPr>
          <w:rFonts w:cs="Arial"/>
          <w:szCs w:val="24"/>
        </w:rPr>
        <w:t>long-term incentives for industry to develop added-value products.</w:t>
      </w:r>
      <w:r w:rsidRPr="00782FC3">
        <w:rPr>
          <w:rStyle w:val="EndnoteReference"/>
          <w:rFonts w:cs="Arial"/>
          <w:szCs w:val="24"/>
        </w:rPr>
        <w:endnoteReference w:id="22"/>
      </w:r>
      <w:r w:rsidR="003D4862" w:rsidRPr="00782FC3">
        <w:rPr>
          <w:rFonts w:cs="Arial"/>
          <w:szCs w:val="24"/>
        </w:rPr>
        <w:t xml:space="preserve"> </w:t>
      </w:r>
      <w:r w:rsidRPr="00782FC3">
        <w:rPr>
          <w:rFonts w:cs="Arial"/>
          <w:szCs w:val="24"/>
        </w:rPr>
        <w:t xml:space="preserve">According to a 2013 report by the OECD, many countries already apply some type of “value-based” policies in pricing and reimbursement, but the way value and cost-effectiveness determined and the different factors applied in assessment </w:t>
      </w:r>
      <w:r w:rsidR="00FF5819" w:rsidRPr="00782FC3">
        <w:rPr>
          <w:rFonts w:cs="Arial"/>
          <w:szCs w:val="24"/>
        </w:rPr>
        <w:t>are</w:t>
      </w:r>
      <w:r w:rsidRPr="00782FC3">
        <w:rPr>
          <w:rFonts w:cs="Arial"/>
          <w:szCs w:val="24"/>
        </w:rPr>
        <w:t xml:space="preserve"> very different in different OECD (and EU) countries . There is also no commonly accepted definition of value.</w:t>
      </w:r>
      <w:r w:rsidRPr="00782FC3">
        <w:rPr>
          <w:rStyle w:val="EndnoteReference"/>
          <w:rFonts w:cs="Arial"/>
          <w:szCs w:val="24"/>
        </w:rPr>
        <w:endnoteReference w:id="23"/>
      </w:r>
      <w:r w:rsidR="00D44523" w:rsidRPr="00D44523">
        <w:rPr>
          <w:rFonts w:cs="Arial"/>
          <w:szCs w:val="24"/>
        </w:rPr>
        <w:t xml:space="preserve"> </w:t>
      </w:r>
    </w:p>
    <w:p w14:paraId="5EA32CA5" w14:textId="13CA5C71" w:rsidR="0015113A" w:rsidRDefault="00D44523">
      <w:pPr>
        <w:spacing w:after="120" w:line="276" w:lineRule="auto"/>
        <w:jc w:val="both"/>
        <w:rPr>
          <w:rFonts w:cs="Arial"/>
          <w:color w:val="0F243E" w:themeColor="text2" w:themeShade="80"/>
          <w:szCs w:val="24"/>
        </w:rPr>
      </w:pPr>
      <w:r w:rsidRPr="00596CE1">
        <w:rPr>
          <w:rFonts w:cs="Arial"/>
          <w:color w:val="0F243E" w:themeColor="text2" w:themeShade="80"/>
          <w:szCs w:val="24"/>
        </w:rPr>
        <w:t>In our view focusing on  value only is not sufficient. Added value should certainly be one consideration when considering  what is a fair price for a medicine, but it should not be seen as a carte blanche and needs to be balanced with other considerations such as impact on the health budget. S</w:t>
      </w:r>
      <w:r w:rsidR="005E313C" w:rsidRPr="00596CE1">
        <w:rPr>
          <w:rFonts w:cs="Arial"/>
          <w:color w:val="0F243E" w:themeColor="text2" w:themeShade="80"/>
          <w:szCs w:val="24"/>
        </w:rPr>
        <w:t>ome</w:t>
      </w:r>
      <w:r w:rsidRPr="00596CE1">
        <w:rPr>
          <w:rFonts w:cs="Arial"/>
          <w:color w:val="0F243E" w:themeColor="text2" w:themeShade="80"/>
          <w:szCs w:val="24"/>
        </w:rPr>
        <w:t xml:space="preserve"> </w:t>
      </w:r>
      <w:r w:rsidR="005E313C" w:rsidRPr="00596CE1">
        <w:rPr>
          <w:rFonts w:cs="Arial"/>
          <w:color w:val="0F243E" w:themeColor="text2" w:themeShade="80"/>
          <w:szCs w:val="24"/>
        </w:rPr>
        <w:t>degree of differentiation between countries</w:t>
      </w:r>
      <w:r w:rsidRPr="00596CE1">
        <w:rPr>
          <w:rFonts w:cs="Arial"/>
          <w:color w:val="0F243E" w:themeColor="text2" w:themeShade="80"/>
          <w:szCs w:val="24"/>
        </w:rPr>
        <w:t>, for example their economic situation, must also be taken into account.</w:t>
      </w:r>
      <w:r w:rsidR="00B902D0" w:rsidRPr="00596CE1">
        <w:rPr>
          <w:rFonts w:cs="Arial"/>
          <w:color w:val="0F243E" w:themeColor="text2" w:themeShade="80"/>
          <w:szCs w:val="24"/>
        </w:rPr>
        <w:t xml:space="preserve"> </w:t>
      </w:r>
    </w:p>
    <w:p w14:paraId="743CD86D" w14:textId="251C9554"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6D0E3D6C" w14:textId="1C6083BC" w:rsidR="00421B64" w:rsidRPr="0038165E" w:rsidRDefault="00596CE1" w:rsidP="0038165E">
      <w:pPr>
        <w:pStyle w:val="Heading2"/>
        <w:numPr>
          <w:ilvl w:val="0"/>
          <w:numId w:val="0"/>
        </w:numPr>
        <w:spacing w:before="120" w:after="120" w:line="240" w:lineRule="auto"/>
        <w:rPr>
          <w:caps w:val="0"/>
          <w:sz w:val="24"/>
        </w:rPr>
      </w:pPr>
      <w:bookmarkStart w:id="12" w:name="_Toc511039284"/>
      <w:r w:rsidRPr="00596CE1">
        <w:rPr>
          <w:caps w:val="0"/>
          <w:color w:val="C00000"/>
          <w:sz w:val="24"/>
        </w:rPr>
        <w:t xml:space="preserve">New section: </w:t>
      </w:r>
      <w:r w:rsidR="00BC4F29" w:rsidRPr="0038165E">
        <w:rPr>
          <w:caps w:val="0"/>
          <w:sz w:val="24"/>
        </w:rPr>
        <w:t>The system must become more transparent</w:t>
      </w:r>
      <w:bookmarkEnd w:id="12"/>
      <w:r>
        <w:rPr>
          <w:rStyle w:val="FootnoteReference"/>
          <w:caps w:val="0"/>
          <w:sz w:val="24"/>
        </w:rPr>
        <w:footnoteReference w:id="12"/>
      </w:r>
      <w:r w:rsidR="00B902D0" w:rsidRPr="0038165E">
        <w:rPr>
          <w:caps w:val="0"/>
          <w:sz w:val="24"/>
        </w:rPr>
        <w:t xml:space="preserve"> </w:t>
      </w:r>
    </w:p>
    <w:p w14:paraId="56573D63" w14:textId="423B0540" w:rsidR="00421B64" w:rsidRPr="00782FC3" w:rsidRDefault="00B902D0">
      <w:pPr>
        <w:spacing w:after="120" w:line="276" w:lineRule="auto"/>
        <w:jc w:val="both"/>
        <w:rPr>
          <w:rFonts w:cs="Arial"/>
          <w:szCs w:val="24"/>
        </w:rPr>
      </w:pPr>
      <w:r w:rsidRPr="00782FC3">
        <w:rPr>
          <w:rFonts w:cs="Arial"/>
          <w:szCs w:val="24"/>
        </w:rPr>
        <w:t xml:space="preserve">Many are concerned that national decisions taken on pricing and reimbursement are hampered by lack of transparency on the </w:t>
      </w:r>
      <w:r w:rsidR="00995AAB" w:rsidRPr="00782FC3">
        <w:rPr>
          <w:rFonts w:cs="Arial"/>
          <w:szCs w:val="24"/>
        </w:rPr>
        <w:t xml:space="preserve">prices </w:t>
      </w:r>
      <w:r w:rsidRPr="00782FC3">
        <w:rPr>
          <w:rFonts w:cs="Arial"/>
          <w:szCs w:val="24"/>
        </w:rPr>
        <w:t>of medicines</w:t>
      </w:r>
      <w:r w:rsidR="00A007FC">
        <w:rPr>
          <w:rFonts w:cs="Arial"/>
          <w:szCs w:val="24"/>
        </w:rPr>
        <w:t>,</w:t>
      </w:r>
      <w:r w:rsidR="0075356C" w:rsidRPr="00782FC3">
        <w:rPr>
          <w:rFonts w:cs="Arial"/>
          <w:szCs w:val="24"/>
        </w:rPr>
        <w:t xml:space="preserve"> and </w:t>
      </w:r>
      <w:r w:rsidR="00A007FC">
        <w:rPr>
          <w:rFonts w:cs="Arial"/>
          <w:szCs w:val="24"/>
        </w:rPr>
        <w:t xml:space="preserve">lack of reliable information on </w:t>
      </w:r>
      <w:r w:rsidR="0075356C" w:rsidRPr="00782FC3">
        <w:rPr>
          <w:rFonts w:cs="Arial"/>
          <w:szCs w:val="24"/>
        </w:rPr>
        <w:t>the cost of research and development</w:t>
      </w:r>
      <w:r w:rsidRPr="00782FC3">
        <w:rPr>
          <w:rFonts w:cs="Arial"/>
          <w:szCs w:val="24"/>
        </w:rPr>
        <w:t>.</w:t>
      </w:r>
      <w:r w:rsidR="001D5411" w:rsidRPr="00782FC3">
        <w:rPr>
          <w:rFonts w:cs="Arial"/>
          <w:szCs w:val="24"/>
        </w:rPr>
        <w:t xml:space="preserve"> The argument </w:t>
      </w:r>
      <w:r w:rsidRPr="00782FC3">
        <w:rPr>
          <w:rFonts w:cs="Arial"/>
          <w:szCs w:val="24"/>
        </w:rPr>
        <w:t xml:space="preserve">in favour of </w:t>
      </w:r>
      <w:r w:rsidRPr="00A007FC">
        <w:rPr>
          <w:rFonts w:cs="Arial"/>
          <w:i/>
          <w:szCs w:val="24"/>
        </w:rPr>
        <w:t>transparency on medicines prices</w:t>
      </w:r>
      <w:r w:rsidR="001D5411" w:rsidRPr="00782FC3">
        <w:rPr>
          <w:rFonts w:cs="Arial"/>
          <w:szCs w:val="24"/>
        </w:rPr>
        <w:t xml:space="preserve"> is </w:t>
      </w:r>
      <w:r w:rsidRPr="00782FC3">
        <w:rPr>
          <w:rFonts w:cs="Arial"/>
          <w:szCs w:val="24"/>
        </w:rPr>
        <w:t xml:space="preserve">that it </w:t>
      </w:r>
      <w:r w:rsidRPr="00782FC3">
        <w:rPr>
          <w:rFonts w:cs="Arial"/>
          <w:szCs w:val="24"/>
        </w:rPr>
        <w:lastRenderedPageBreak/>
        <w:t xml:space="preserve">would make medicines pricing more realistic and more equitable. Essentially, that external reference pricing would work if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 xml:space="preserve">tates could know the actual prices paid by other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 xml:space="preserve">tates. </w:t>
      </w:r>
    </w:p>
    <w:p w14:paraId="7A8EA32B" w14:textId="77777777" w:rsidR="00A007FC" w:rsidRPr="00D9796C" w:rsidRDefault="00A007FC" w:rsidP="00A007FC">
      <w:pPr>
        <w:spacing w:after="120" w:line="240" w:lineRule="auto"/>
        <w:jc w:val="both"/>
        <w:rPr>
          <w:rFonts w:cs="Arial"/>
          <w:b/>
          <w:szCs w:val="24"/>
        </w:rPr>
      </w:pPr>
      <w:r w:rsidRPr="00D9796C">
        <w:rPr>
          <w:rFonts w:cs="Arial"/>
          <w:b/>
          <w:szCs w:val="24"/>
        </w:rPr>
        <w:t xml:space="preserve">Transparency of prices, or pricing? </w:t>
      </w:r>
    </w:p>
    <w:p w14:paraId="46FE1A06" w14:textId="7FE24724" w:rsidR="00421B64" w:rsidRPr="00596CE1" w:rsidRDefault="00B902D0" w:rsidP="00776455">
      <w:pPr>
        <w:spacing w:after="120" w:line="276" w:lineRule="auto"/>
        <w:jc w:val="both"/>
        <w:rPr>
          <w:rFonts w:cs="Arial"/>
          <w:color w:val="0F243E" w:themeColor="text2" w:themeShade="80"/>
          <w:szCs w:val="24"/>
        </w:rPr>
      </w:pPr>
      <w:r w:rsidRPr="00782FC3">
        <w:rPr>
          <w:rFonts w:eastAsia="Times New Roman" w:cs="Arial"/>
          <w:szCs w:val="24"/>
        </w:rPr>
        <w:t>The Council conclusions on Innovation for the benefit of patients (December 2014) called for more “effective sharing of information on prices of and expenditure on medicinal products, including innovative medicinal products”.</w:t>
      </w:r>
      <w:r w:rsidRPr="00782FC3">
        <w:rPr>
          <w:rFonts w:cs="Arial"/>
          <w:szCs w:val="24"/>
        </w:rPr>
        <w:t xml:space="preserve"> The EURIPID EU-funded project has set up a price database for competent authorities,</w:t>
      </w:r>
      <w:r w:rsidR="00A007FC">
        <w:rPr>
          <w:rFonts w:cs="Arial"/>
          <w:szCs w:val="24"/>
        </w:rPr>
        <w:t xml:space="preserve"> although </w:t>
      </w:r>
      <w:r w:rsidRPr="00782FC3">
        <w:rPr>
          <w:rFonts w:cs="Arial"/>
          <w:szCs w:val="24"/>
        </w:rPr>
        <w:t xml:space="preserve">until now it only includes list prices, not actual prices. These are achieved as a result of negotiations with companies, which are confidential. </w:t>
      </w:r>
      <w:r w:rsidR="00A007FC">
        <w:rPr>
          <w:rFonts w:cs="Arial"/>
          <w:szCs w:val="24"/>
        </w:rPr>
        <w:t xml:space="preserve"> </w:t>
      </w:r>
      <w:r w:rsidRPr="00782FC3">
        <w:rPr>
          <w:rFonts w:cs="Arial"/>
          <w:szCs w:val="24"/>
        </w:rPr>
        <w:t xml:space="preserve">Some </w:t>
      </w:r>
      <w:r w:rsidR="00C754CC">
        <w:rPr>
          <w:rFonts w:cs="Arial"/>
          <w:szCs w:val="24"/>
        </w:rPr>
        <w:t xml:space="preserve">civil society and public health stakeholders </w:t>
      </w:r>
      <w:r w:rsidRPr="00782FC3">
        <w:rPr>
          <w:rFonts w:cs="Arial"/>
          <w:szCs w:val="24"/>
        </w:rPr>
        <w:t xml:space="preserve">argue that there should be </w:t>
      </w:r>
      <w:r w:rsidR="00A007FC">
        <w:rPr>
          <w:rFonts w:cs="Arial"/>
          <w:szCs w:val="24"/>
        </w:rPr>
        <w:t>“</w:t>
      </w:r>
      <w:r w:rsidRPr="00782FC3">
        <w:rPr>
          <w:rFonts w:cs="Arial"/>
          <w:szCs w:val="24"/>
        </w:rPr>
        <w:t>no secret deals</w:t>
      </w:r>
      <w:r w:rsidR="00A007FC">
        <w:rPr>
          <w:rFonts w:cs="Arial"/>
          <w:szCs w:val="24"/>
        </w:rPr>
        <w:t>”</w:t>
      </w:r>
      <w:r w:rsidRPr="00782FC3">
        <w:rPr>
          <w:rFonts w:cs="Arial"/>
          <w:szCs w:val="24"/>
        </w:rPr>
        <w:t xml:space="preserve"> between payers and companies, and the real prices should be shared so </w:t>
      </w:r>
      <w:r w:rsidR="003D686C" w:rsidRPr="00782FC3">
        <w:rPr>
          <w:rFonts w:cs="Arial"/>
          <w:szCs w:val="24"/>
        </w:rPr>
        <w:t>M</w:t>
      </w:r>
      <w:r w:rsidRPr="00782FC3">
        <w:rPr>
          <w:rFonts w:cs="Arial"/>
          <w:szCs w:val="24"/>
        </w:rPr>
        <w:t xml:space="preserve">ember </w:t>
      </w:r>
      <w:r w:rsidR="003D686C" w:rsidRPr="00782FC3">
        <w:rPr>
          <w:rFonts w:cs="Arial"/>
          <w:szCs w:val="24"/>
        </w:rPr>
        <w:t>S</w:t>
      </w:r>
      <w:r w:rsidRPr="00782FC3">
        <w:rPr>
          <w:rFonts w:cs="Arial"/>
          <w:szCs w:val="24"/>
        </w:rPr>
        <w:t>tates could drive down prices. The pharmaceutical industry, in turn, argues that full transparency would be counter-productive for access.</w:t>
      </w:r>
      <w:r w:rsidRPr="00782FC3">
        <w:rPr>
          <w:rStyle w:val="EndnoteReference"/>
          <w:rFonts w:cs="Arial"/>
          <w:szCs w:val="24"/>
        </w:rPr>
        <w:endnoteReference w:id="24"/>
      </w:r>
      <w:r w:rsidR="008D469F">
        <w:rPr>
          <w:rFonts w:cs="Arial"/>
          <w:szCs w:val="24"/>
        </w:rPr>
        <w:t xml:space="preserve"> </w:t>
      </w:r>
      <w:r w:rsidR="008D469F" w:rsidRPr="00596CE1">
        <w:rPr>
          <w:rFonts w:cs="Arial"/>
          <w:color w:val="0F243E" w:themeColor="text2" w:themeShade="80"/>
          <w:szCs w:val="24"/>
        </w:rPr>
        <w:t>Until now, Member States have not agreed to share real information on prices, however.</w:t>
      </w:r>
      <w:r w:rsidR="008D469F" w:rsidRPr="00596CE1">
        <w:rPr>
          <w:rStyle w:val="FootnoteReference"/>
          <w:rFonts w:cs="Arial"/>
          <w:color w:val="0F243E" w:themeColor="text2" w:themeShade="80"/>
          <w:szCs w:val="24"/>
        </w:rPr>
        <w:footnoteReference w:id="13"/>
      </w:r>
      <w:r w:rsidR="008D469F" w:rsidRPr="00596CE1">
        <w:rPr>
          <w:rFonts w:cs="Arial"/>
          <w:color w:val="0F243E" w:themeColor="text2" w:themeShade="80"/>
          <w:szCs w:val="24"/>
        </w:rPr>
        <w:t xml:space="preserve"> </w:t>
      </w:r>
    </w:p>
    <w:p w14:paraId="501DA33E" w14:textId="060B6E76" w:rsidR="003D4862" w:rsidRPr="00596CE1" w:rsidRDefault="008D469F" w:rsidP="00776455">
      <w:pPr>
        <w:spacing w:after="120" w:line="276" w:lineRule="auto"/>
        <w:jc w:val="both"/>
        <w:rPr>
          <w:rFonts w:cs="Arial"/>
          <w:color w:val="0F243E" w:themeColor="text2" w:themeShade="80"/>
          <w:szCs w:val="24"/>
        </w:rPr>
      </w:pPr>
      <w:r w:rsidRPr="00596CE1">
        <w:rPr>
          <w:rFonts w:cs="Arial"/>
          <w:color w:val="0F243E" w:themeColor="text2" w:themeShade="80"/>
          <w:szCs w:val="24"/>
        </w:rPr>
        <w:t xml:space="preserve">EPF strongly </w:t>
      </w:r>
      <w:r w:rsidR="00B902D0" w:rsidRPr="00596CE1">
        <w:rPr>
          <w:rFonts w:cs="Arial"/>
          <w:color w:val="0F243E" w:themeColor="text2" w:themeShade="80"/>
          <w:szCs w:val="24"/>
        </w:rPr>
        <w:t>believe</w:t>
      </w:r>
      <w:r w:rsidRPr="00596CE1">
        <w:rPr>
          <w:rFonts w:cs="Arial"/>
          <w:color w:val="0F243E" w:themeColor="text2" w:themeShade="80"/>
          <w:szCs w:val="24"/>
        </w:rPr>
        <w:t>s</w:t>
      </w:r>
      <w:r w:rsidR="00B902D0" w:rsidRPr="00596CE1">
        <w:rPr>
          <w:rFonts w:cs="Arial"/>
          <w:color w:val="0F243E" w:themeColor="text2" w:themeShade="80"/>
          <w:szCs w:val="24"/>
        </w:rPr>
        <w:t xml:space="preserve"> </w:t>
      </w:r>
      <w:r w:rsidRPr="00596CE1">
        <w:rPr>
          <w:rFonts w:cs="Arial"/>
          <w:color w:val="0F243E" w:themeColor="text2" w:themeShade="80"/>
          <w:szCs w:val="24"/>
        </w:rPr>
        <w:t xml:space="preserve">that the system must move </w:t>
      </w:r>
      <w:r w:rsidR="00B902D0" w:rsidRPr="00596CE1">
        <w:rPr>
          <w:rFonts w:cs="Arial"/>
          <w:color w:val="0F243E" w:themeColor="text2" w:themeShade="80"/>
          <w:szCs w:val="24"/>
        </w:rPr>
        <w:t>towards maximum transparency</w:t>
      </w:r>
      <w:r w:rsidR="00596CE1" w:rsidRPr="00596CE1">
        <w:rPr>
          <w:rFonts w:cs="Arial"/>
          <w:color w:val="0F243E" w:themeColor="text2" w:themeShade="80"/>
          <w:szCs w:val="24"/>
        </w:rPr>
        <w:t>,</w:t>
      </w:r>
      <w:r w:rsidR="00B902D0" w:rsidRPr="00596CE1">
        <w:rPr>
          <w:rFonts w:cs="Arial"/>
          <w:color w:val="0F243E" w:themeColor="text2" w:themeShade="80"/>
          <w:szCs w:val="24"/>
        </w:rPr>
        <w:t xml:space="preserve"> for reasons of openness and accountability of the system towards patients and citizens. However, we believe more knowledge is needed on </w:t>
      </w:r>
      <w:r w:rsidRPr="00596CE1">
        <w:rPr>
          <w:rFonts w:cs="Arial"/>
          <w:color w:val="0F243E" w:themeColor="text2" w:themeShade="80"/>
          <w:szCs w:val="24"/>
        </w:rPr>
        <w:t xml:space="preserve">what might be </w:t>
      </w:r>
      <w:r w:rsidR="00B902D0" w:rsidRPr="00596CE1">
        <w:rPr>
          <w:rFonts w:cs="Arial"/>
          <w:color w:val="0F243E" w:themeColor="text2" w:themeShade="80"/>
          <w:szCs w:val="24"/>
        </w:rPr>
        <w:t xml:space="preserve">possible unintentional </w:t>
      </w:r>
      <w:r w:rsidRPr="00596CE1">
        <w:rPr>
          <w:rFonts w:cs="Arial"/>
          <w:color w:val="0F243E" w:themeColor="text2" w:themeShade="80"/>
          <w:szCs w:val="24"/>
        </w:rPr>
        <w:t xml:space="preserve">consequences on patient access, were there to be full </w:t>
      </w:r>
      <w:r w:rsidR="00B902D0" w:rsidRPr="00596CE1">
        <w:rPr>
          <w:rFonts w:cs="Arial"/>
          <w:i/>
          <w:color w:val="0F243E" w:themeColor="text2" w:themeShade="80"/>
          <w:szCs w:val="24"/>
        </w:rPr>
        <w:t>transparency of actual negotiated prices</w:t>
      </w:r>
      <w:r w:rsidR="005F6014" w:rsidRPr="00596CE1">
        <w:rPr>
          <w:rFonts w:cs="Arial"/>
          <w:color w:val="0F243E" w:themeColor="text2" w:themeShade="80"/>
          <w:szCs w:val="24"/>
        </w:rPr>
        <w:t xml:space="preserve"> </w:t>
      </w:r>
      <w:r w:rsidR="00DF2EF9" w:rsidRPr="00596CE1">
        <w:rPr>
          <w:rFonts w:cs="Arial"/>
          <w:color w:val="0F243E" w:themeColor="text2" w:themeShade="80"/>
          <w:szCs w:val="24"/>
        </w:rPr>
        <w:t>in the long-term</w:t>
      </w:r>
      <w:r w:rsidR="00B902D0" w:rsidRPr="00596CE1">
        <w:rPr>
          <w:rFonts w:cs="Arial"/>
          <w:color w:val="0F243E" w:themeColor="text2" w:themeShade="80"/>
          <w:szCs w:val="24"/>
        </w:rPr>
        <w:t xml:space="preserve">. </w:t>
      </w:r>
      <w:r w:rsidR="00C754CC" w:rsidRPr="00C754CC">
        <w:rPr>
          <w:rFonts w:cs="Arial"/>
          <w:color w:val="0F243E" w:themeColor="text2" w:themeShade="80"/>
          <w:szCs w:val="24"/>
        </w:rPr>
        <w:t>Full transparency might put at risk access in poorer</w:t>
      </w:r>
      <w:r w:rsidR="00C754CC">
        <w:rPr>
          <w:rFonts w:cs="Arial"/>
          <w:color w:val="0F243E" w:themeColor="text2" w:themeShade="80"/>
          <w:szCs w:val="24"/>
        </w:rPr>
        <w:t xml:space="preserve"> Member States,</w:t>
      </w:r>
      <w:r w:rsidR="00C754CC" w:rsidRPr="00C754CC">
        <w:rPr>
          <w:rFonts w:cs="Arial"/>
          <w:color w:val="0F243E" w:themeColor="text2" w:themeShade="80"/>
          <w:szCs w:val="24"/>
        </w:rPr>
        <w:t xml:space="preserve"> which in some cases (but not always) </w:t>
      </w:r>
      <w:r w:rsidR="00C754CC">
        <w:rPr>
          <w:rFonts w:cs="Arial"/>
          <w:color w:val="0F243E" w:themeColor="text2" w:themeShade="80"/>
          <w:szCs w:val="24"/>
        </w:rPr>
        <w:t xml:space="preserve">do </w:t>
      </w:r>
      <w:r w:rsidR="00C754CC" w:rsidRPr="00C754CC">
        <w:rPr>
          <w:rFonts w:cs="Arial"/>
          <w:color w:val="0F243E" w:themeColor="text2" w:themeShade="80"/>
          <w:szCs w:val="24"/>
        </w:rPr>
        <w:t>achieve more affordable prices through the confidential agreements. Full transparency should only be encouraged once</w:t>
      </w:r>
      <w:r w:rsidR="00C754CC">
        <w:rPr>
          <w:rFonts w:cs="Arial"/>
          <w:color w:val="0F243E" w:themeColor="text2" w:themeShade="80"/>
          <w:szCs w:val="24"/>
        </w:rPr>
        <w:t xml:space="preserve"> Member States </w:t>
      </w:r>
      <w:r w:rsidR="00C754CC" w:rsidRPr="00C754CC">
        <w:rPr>
          <w:rFonts w:cs="Arial"/>
          <w:color w:val="0F243E" w:themeColor="text2" w:themeShade="80"/>
          <w:szCs w:val="24"/>
        </w:rPr>
        <w:t>agree on solidarity and fairness in pricing</w:t>
      </w:r>
      <w:r w:rsidR="00C754CC">
        <w:rPr>
          <w:rFonts w:cs="Arial"/>
          <w:color w:val="0F243E" w:themeColor="text2" w:themeShade="80"/>
          <w:szCs w:val="24"/>
        </w:rPr>
        <w:t>,</w:t>
      </w:r>
      <w:r w:rsidR="00C754CC" w:rsidRPr="00C754CC">
        <w:rPr>
          <w:rFonts w:cs="Arial"/>
          <w:color w:val="0F243E" w:themeColor="text2" w:themeShade="80"/>
          <w:szCs w:val="24"/>
        </w:rPr>
        <w:t xml:space="preserve"> based on </w:t>
      </w:r>
      <w:r w:rsidR="00C754CC">
        <w:rPr>
          <w:rFonts w:cs="Arial"/>
          <w:color w:val="0F243E" w:themeColor="text2" w:themeShade="80"/>
          <w:szCs w:val="24"/>
        </w:rPr>
        <w:t xml:space="preserve">the </w:t>
      </w:r>
      <w:r w:rsidR="00C754CC" w:rsidRPr="00C754CC">
        <w:rPr>
          <w:rFonts w:cs="Arial"/>
          <w:color w:val="0F243E" w:themeColor="text2" w:themeShade="80"/>
          <w:szCs w:val="24"/>
        </w:rPr>
        <w:t xml:space="preserve">economic development of a country, excluding poorer </w:t>
      </w:r>
      <w:r w:rsidR="00C754CC">
        <w:rPr>
          <w:rFonts w:cs="Arial"/>
          <w:color w:val="0F243E" w:themeColor="text2" w:themeShade="80"/>
          <w:szCs w:val="24"/>
        </w:rPr>
        <w:t xml:space="preserve">Member States </w:t>
      </w:r>
      <w:r w:rsidR="00C754CC" w:rsidRPr="00C754CC">
        <w:rPr>
          <w:rFonts w:cs="Arial"/>
          <w:color w:val="0F243E" w:themeColor="text2" w:themeShade="80"/>
          <w:szCs w:val="24"/>
        </w:rPr>
        <w:t xml:space="preserve">from </w:t>
      </w:r>
      <w:r w:rsidR="00C754CC">
        <w:rPr>
          <w:rFonts w:cs="Arial"/>
          <w:color w:val="0F243E" w:themeColor="text2" w:themeShade="80"/>
          <w:szCs w:val="24"/>
        </w:rPr>
        <w:t xml:space="preserve">reference pricing “baskets” </w:t>
      </w:r>
      <w:r w:rsidR="00C754CC" w:rsidRPr="00C754CC">
        <w:rPr>
          <w:rFonts w:cs="Arial"/>
          <w:color w:val="0F243E" w:themeColor="text2" w:themeShade="80"/>
          <w:szCs w:val="24"/>
        </w:rPr>
        <w:t>and restricting parallel trade from poor to richer</w:t>
      </w:r>
      <w:r w:rsidR="00C754CC">
        <w:rPr>
          <w:rFonts w:cs="Arial"/>
          <w:color w:val="0F243E" w:themeColor="text2" w:themeShade="80"/>
          <w:szCs w:val="24"/>
        </w:rPr>
        <w:t xml:space="preserve"> countries</w:t>
      </w:r>
      <w:r w:rsidR="00C754CC" w:rsidRPr="00C754CC">
        <w:rPr>
          <w:rFonts w:cs="Arial"/>
          <w:color w:val="0F243E" w:themeColor="text2" w:themeShade="80"/>
          <w:szCs w:val="24"/>
        </w:rPr>
        <w:t>.</w:t>
      </w:r>
    </w:p>
    <w:p w14:paraId="15EB56CB" w14:textId="543D7541" w:rsidR="008F502D" w:rsidRDefault="00BB0A2B" w:rsidP="00074E09">
      <w:pPr>
        <w:spacing w:after="120" w:line="276" w:lineRule="auto"/>
        <w:jc w:val="both"/>
        <w:rPr>
          <w:rFonts w:cs="Arial"/>
          <w:color w:val="0F243E" w:themeColor="text2" w:themeShade="80"/>
        </w:rPr>
      </w:pPr>
      <w:r>
        <w:rPr>
          <w:rFonts w:cs="Arial"/>
          <w:color w:val="0F243E" w:themeColor="text2" w:themeShade="80"/>
          <w:szCs w:val="24"/>
        </w:rPr>
        <w:t xml:space="preserve">Another issue is that the </w:t>
      </w:r>
      <w:r w:rsidR="00B902D0" w:rsidRPr="00596CE1">
        <w:rPr>
          <w:rFonts w:cs="Arial"/>
          <w:i/>
          <w:color w:val="0F243E" w:themeColor="text2" w:themeShade="80"/>
          <w:szCs w:val="24"/>
        </w:rPr>
        <w:t>processes and criteria of decision-making</w:t>
      </w:r>
      <w:r w:rsidR="00B902D0" w:rsidRPr="00596CE1">
        <w:rPr>
          <w:rFonts w:cs="Arial"/>
          <w:color w:val="0F243E" w:themeColor="text2" w:themeShade="80"/>
          <w:szCs w:val="24"/>
        </w:rPr>
        <w:t xml:space="preserve"> on pricing and reimbursement</w:t>
      </w:r>
      <w:r w:rsidR="008D469F" w:rsidRPr="00596CE1">
        <w:rPr>
          <w:rFonts w:cs="Arial"/>
          <w:color w:val="0F243E" w:themeColor="text2" w:themeShade="80"/>
          <w:szCs w:val="24"/>
        </w:rPr>
        <w:t xml:space="preserve"> are currently not transparent to patients. Furthermore, many EU Member States </w:t>
      </w:r>
      <w:r w:rsidR="00B902D0" w:rsidRPr="00596CE1">
        <w:rPr>
          <w:rFonts w:cs="Arial"/>
          <w:color w:val="0F243E" w:themeColor="text2" w:themeShade="80"/>
          <w:szCs w:val="24"/>
        </w:rPr>
        <w:t xml:space="preserve">are not </w:t>
      </w:r>
      <w:r w:rsidR="008D469F" w:rsidRPr="00596CE1">
        <w:rPr>
          <w:rFonts w:cs="Arial"/>
          <w:color w:val="0F243E" w:themeColor="text2" w:themeShade="80"/>
          <w:szCs w:val="24"/>
        </w:rPr>
        <w:t xml:space="preserve">respecting </w:t>
      </w:r>
      <w:r w:rsidR="00B902D0" w:rsidRPr="00596CE1">
        <w:rPr>
          <w:rFonts w:cs="Arial"/>
          <w:color w:val="0F243E" w:themeColor="text2" w:themeShade="80"/>
          <w:szCs w:val="24"/>
        </w:rPr>
        <w:t>the timeline</w:t>
      </w:r>
      <w:r w:rsidR="00B902D0" w:rsidRPr="00596CE1">
        <w:rPr>
          <w:rFonts w:cs="Arial"/>
          <w:i/>
          <w:color w:val="0F243E" w:themeColor="text2" w:themeShade="80"/>
          <w:szCs w:val="24"/>
        </w:rPr>
        <w:t xml:space="preserve"> </w:t>
      </w:r>
      <w:r w:rsidR="00B902D0" w:rsidRPr="00596CE1">
        <w:rPr>
          <w:rFonts w:cs="Arial"/>
          <w:color w:val="0F243E" w:themeColor="text2" w:themeShade="80"/>
          <w:szCs w:val="24"/>
        </w:rPr>
        <w:t>of 180 days for decision-making under the EU Transparency Directive.</w:t>
      </w:r>
      <w:r w:rsidR="00B902D0" w:rsidRPr="00596CE1">
        <w:rPr>
          <w:rStyle w:val="EndnoteReference"/>
          <w:rFonts w:cs="Arial"/>
          <w:color w:val="0F243E" w:themeColor="text2" w:themeShade="80"/>
          <w:szCs w:val="24"/>
        </w:rPr>
        <w:endnoteReference w:id="25"/>
      </w:r>
      <w:r w:rsidR="00B902D0" w:rsidRPr="00596CE1">
        <w:rPr>
          <w:rFonts w:cs="Arial"/>
          <w:color w:val="0F243E" w:themeColor="text2" w:themeShade="80"/>
          <w:szCs w:val="24"/>
        </w:rPr>
        <w:t xml:space="preserve"> </w:t>
      </w:r>
      <w:r w:rsidR="00D715A2" w:rsidRPr="00596CE1">
        <w:rPr>
          <w:rFonts w:cs="Arial"/>
          <w:color w:val="0F243E" w:themeColor="text2" w:themeShade="80"/>
          <w:szCs w:val="24"/>
        </w:rPr>
        <w:t>EPF contributed constructively to a previous attempt to review this directive. We are currently engaging with the legislative proposal on HTA which aims to accelerate the decision-making process.</w:t>
      </w:r>
      <w:r w:rsidR="003D4862" w:rsidRPr="00596CE1">
        <w:rPr>
          <w:color w:val="0F243E" w:themeColor="text2" w:themeShade="80"/>
        </w:rPr>
        <w:t xml:space="preserve"> </w:t>
      </w:r>
      <w:r w:rsidR="00D715A2" w:rsidRPr="00596CE1">
        <w:rPr>
          <w:color w:val="0F243E" w:themeColor="text2" w:themeShade="80"/>
        </w:rPr>
        <w:t>EPF believes t</w:t>
      </w:r>
      <w:r w:rsidR="003D4862" w:rsidRPr="00596CE1">
        <w:rPr>
          <w:color w:val="0F243E" w:themeColor="text2" w:themeShade="80"/>
        </w:rPr>
        <w:t xml:space="preserve">he procedures </w:t>
      </w:r>
      <w:r w:rsidR="00D715A2" w:rsidRPr="00596CE1">
        <w:rPr>
          <w:color w:val="0F243E" w:themeColor="text2" w:themeShade="80"/>
        </w:rPr>
        <w:t xml:space="preserve">and decisions on pricing and </w:t>
      </w:r>
      <w:r w:rsidR="003D4862" w:rsidRPr="00596CE1">
        <w:rPr>
          <w:color w:val="0F243E" w:themeColor="text2" w:themeShade="80"/>
        </w:rPr>
        <w:t>reimbursement</w:t>
      </w:r>
      <w:r w:rsidR="00D715A2" w:rsidRPr="00596CE1">
        <w:rPr>
          <w:color w:val="0F243E" w:themeColor="text2" w:themeShade="80"/>
        </w:rPr>
        <w:t xml:space="preserve"> must become more transparent and understandable to patients and citizens, and the patient perspective should be meaningfully embedded at each step.</w:t>
      </w:r>
      <w:r w:rsidR="00D715A2" w:rsidRPr="00596CE1">
        <w:rPr>
          <w:b/>
          <w:color w:val="0F243E" w:themeColor="text2" w:themeShade="80"/>
        </w:rPr>
        <w:t xml:space="preserve"> </w:t>
      </w:r>
      <w:r w:rsidR="001C6AE1" w:rsidRPr="00596CE1">
        <w:rPr>
          <w:rFonts w:cs="Arial"/>
          <w:color w:val="0F243E" w:themeColor="text2" w:themeShade="80"/>
        </w:rPr>
        <w:t xml:space="preserve">Overall there is a need for more transparency on the relationships and linkages </w:t>
      </w:r>
      <w:r w:rsidR="00074E09" w:rsidRPr="00596CE1">
        <w:rPr>
          <w:rFonts w:cs="Arial"/>
          <w:color w:val="0F243E" w:themeColor="text2" w:themeShade="80"/>
        </w:rPr>
        <w:t>–</w:t>
      </w:r>
      <w:r w:rsidR="001C6AE1" w:rsidRPr="00596CE1">
        <w:rPr>
          <w:rFonts w:cs="Arial"/>
          <w:color w:val="0F243E" w:themeColor="text2" w:themeShade="80"/>
        </w:rPr>
        <w:t xml:space="preserve"> financial</w:t>
      </w:r>
      <w:r w:rsidR="00074E09" w:rsidRPr="00596CE1">
        <w:rPr>
          <w:rFonts w:cs="Arial"/>
          <w:color w:val="0F243E" w:themeColor="text2" w:themeShade="80"/>
        </w:rPr>
        <w:t xml:space="preserve"> </w:t>
      </w:r>
      <w:r w:rsidR="001C6AE1" w:rsidRPr="00596CE1">
        <w:rPr>
          <w:rFonts w:cs="Arial"/>
          <w:color w:val="0F243E" w:themeColor="text2" w:themeShade="80"/>
        </w:rPr>
        <w:t>and otherwise – between all the actors in the system</w:t>
      </w:r>
      <w:r w:rsidR="00074E09" w:rsidRPr="00596CE1">
        <w:rPr>
          <w:rFonts w:cs="Arial"/>
          <w:color w:val="0F243E" w:themeColor="text2" w:themeShade="80"/>
        </w:rPr>
        <w:t xml:space="preserve"> in order to avoid conflicts of interest</w:t>
      </w:r>
      <w:r w:rsidR="001C6AE1" w:rsidRPr="00596CE1">
        <w:rPr>
          <w:rFonts w:cs="Arial"/>
          <w:color w:val="0F243E" w:themeColor="text2" w:themeShade="80"/>
        </w:rPr>
        <w:t>.</w:t>
      </w:r>
      <w:r w:rsidR="00074E09" w:rsidRPr="00596CE1">
        <w:rPr>
          <w:rFonts w:cs="Arial"/>
          <w:color w:val="0F243E" w:themeColor="text2" w:themeShade="80"/>
        </w:rPr>
        <w:t xml:space="preserve"> </w:t>
      </w:r>
      <w:r w:rsidR="001C6AE1" w:rsidRPr="00596CE1">
        <w:rPr>
          <w:rFonts w:cs="Arial"/>
          <w:color w:val="0F243E" w:themeColor="text2" w:themeShade="80"/>
        </w:rPr>
        <w:t xml:space="preserve"> </w:t>
      </w:r>
    </w:p>
    <w:p w14:paraId="54997302" w14:textId="6737569A"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28B27D9D" w14:textId="2409880C" w:rsidR="00421B64" w:rsidRPr="00C0566A" w:rsidRDefault="009C1EF7">
      <w:pPr>
        <w:pStyle w:val="Heading2"/>
        <w:numPr>
          <w:ilvl w:val="1"/>
          <w:numId w:val="0"/>
        </w:numPr>
        <w:spacing w:before="120" w:after="120" w:line="240" w:lineRule="auto"/>
        <w:rPr>
          <w:caps w:val="0"/>
          <w:color w:val="365F90"/>
          <w:sz w:val="32"/>
          <w:szCs w:val="30"/>
        </w:rPr>
      </w:pPr>
      <w:bookmarkStart w:id="13" w:name="_Toc511039285"/>
      <w:r w:rsidRPr="00CD31A8">
        <w:rPr>
          <w:caps w:val="0"/>
          <w:color w:val="FF0000"/>
          <w:sz w:val="32"/>
          <w:szCs w:val="30"/>
        </w:rPr>
        <w:t xml:space="preserve">Updated section: </w:t>
      </w:r>
      <w:r w:rsidR="003D4862" w:rsidRPr="009C1EF7">
        <w:rPr>
          <w:caps w:val="0"/>
          <w:color w:val="365F90"/>
          <w:sz w:val="32"/>
          <w:szCs w:val="30"/>
        </w:rPr>
        <w:t>Patients want medicines that bring added value</w:t>
      </w:r>
      <w:bookmarkEnd w:id="13"/>
      <w:r w:rsidR="003D4862">
        <w:rPr>
          <w:caps w:val="0"/>
          <w:color w:val="365F90"/>
          <w:sz w:val="32"/>
          <w:szCs w:val="30"/>
        </w:rPr>
        <w:t xml:space="preserve"> </w:t>
      </w:r>
    </w:p>
    <w:p w14:paraId="6289BF9B" w14:textId="77777777" w:rsidR="00421B64" w:rsidRPr="00D9796C" w:rsidRDefault="00B902D0">
      <w:pPr>
        <w:spacing w:after="120" w:line="276" w:lineRule="auto"/>
        <w:jc w:val="both"/>
        <w:rPr>
          <w:rFonts w:cs="Arial"/>
          <w:szCs w:val="24"/>
        </w:rPr>
      </w:pPr>
      <w:r w:rsidRPr="00D9796C">
        <w:rPr>
          <w:rFonts w:cs="Arial"/>
          <w:szCs w:val="24"/>
        </w:rPr>
        <w:t xml:space="preserve">The updated report Priority Medicines for Europe and the World (WHO, 2013), the reports of the Belgian EU presidency on Innovation and Solidarity (2010), and the Council Conclusions on Innovation for the benefit of patients (2014) have raised concerns about access and questioned the </w:t>
      </w:r>
      <w:r w:rsidRPr="00D9796C">
        <w:rPr>
          <w:rFonts w:cs="Arial"/>
          <w:szCs w:val="24"/>
        </w:rPr>
        <w:lastRenderedPageBreak/>
        <w:t xml:space="preserve">nature of innovation: what does “innovative” mean; what should be considered “valuable” innovation; and how should valuable innovation be adequately incentivised and rewarded? </w:t>
      </w:r>
    </w:p>
    <w:p w14:paraId="598899C3" w14:textId="54886D46" w:rsidR="00421B64" w:rsidRPr="00D9796C" w:rsidRDefault="00B902D0">
      <w:pPr>
        <w:spacing w:after="120" w:line="276" w:lineRule="auto"/>
        <w:jc w:val="both"/>
        <w:rPr>
          <w:rFonts w:cs="Arial"/>
          <w:szCs w:val="24"/>
        </w:rPr>
      </w:pPr>
      <w:r w:rsidRPr="00D9796C">
        <w:rPr>
          <w:rFonts w:cs="Arial"/>
          <w:szCs w:val="24"/>
        </w:rPr>
        <w:t>In EPF’s view the word innovation carries with it normative connotations. We understand an innovative medicine to be a new medicine that brings added value for patients.</w:t>
      </w:r>
      <w:r w:rsidRPr="00D9796C">
        <w:rPr>
          <w:rStyle w:val="EndnoteReference"/>
          <w:rFonts w:cs="Arial"/>
          <w:szCs w:val="24"/>
        </w:rPr>
        <w:endnoteReference w:id="26"/>
      </w:r>
      <w:r w:rsidRPr="00D9796C">
        <w:rPr>
          <w:rFonts w:cs="Arial"/>
          <w:szCs w:val="24"/>
        </w:rPr>
        <w:t xml:space="preserve"> Not everything that is new can be considered innovative in this positive meaning of the word, even though the medicine’s molecular structure or mechanism of action could be new. What matters is </w:t>
      </w:r>
      <w:r w:rsidR="00AA32EC" w:rsidRPr="00D9796C">
        <w:rPr>
          <w:rFonts w:cs="Arial"/>
          <w:szCs w:val="24"/>
        </w:rPr>
        <w:t xml:space="preserve">the degree to which </w:t>
      </w:r>
      <w:r w:rsidRPr="00D9796C">
        <w:rPr>
          <w:rFonts w:cs="Arial"/>
          <w:szCs w:val="24"/>
        </w:rPr>
        <w:t>the medicine makes a tangible (positive) difference for patients</w:t>
      </w:r>
      <w:r w:rsidR="00AA32EC" w:rsidRPr="00D9796C">
        <w:rPr>
          <w:rFonts w:cs="Arial"/>
          <w:szCs w:val="24"/>
        </w:rPr>
        <w:t xml:space="preserve"> and the nature that benefit. </w:t>
      </w:r>
    </w:p>
    <w:p w14:paraId="3A4BF228" w14:textId="51E24B83" w:rsidR="00DC7129" w:rsidRPr="00596CE1" w:rsidRDefault="004A2A45" w:rsidP="00CF177A">
      <w:pPr>
        <w:spacing w:after="120" w:line="276" w:lineRule="auto"/>
        <w:jc w:val="both"/>
        <w:rPr>
          <w:rFonts w:cs="Arial"/>
          <w:color w:val="0F243E" w:themeColor="text2" w:themeShade="80"/>
          <w:szCs w:val="24"/>
        </w:rPr>
      </w:pPr>
      <w:r w:rsidRPr="00596CE1">
        <w:rPr>
          <w:rFonts w:cs="Arial"/>
          <w:color w:val="0F243E" w:themeColor="text2" w:themeShade="80"/>
          <w:szCs w:val="24"/>
        </w:rPr>
        <w:t>Recently there have been growing concerns</w:t>
      </w:r>
      <w:r w:rsidR="00DC7129" w:rsidRPr="00596CE1">
        <w:rPr>
          <w:rFonts w:cs="Arial"/>
          <w:color w:val="0F243E" w:themeColor="text2" w:themeShade="80"/>
          <w:szCs w:val="24"/>
        </w:rPr>
        <w:t xml:space="preserve"> on the part of governments, public institutions, but also medical professionals,</w:t>
      </w:r>
      <w:r w:rsidRPr="00596CE1">
        <w:rPr>
          <w:rFonts w:cs="Arial"/>
          <w:color w:val="0F243E" w:themeColor="text2" w:themeShade="80"/>
          <w:szCs w:val="24"/>
        </w:rPr>
        <w:t xml:space="preserve"> about the added value or benefit of some new medicines.</w:t>
      </w:r>
      <w:r w:rsidR="005E33C0" w:rsidRPr="00596CE1">
        <w:rPr>
          <w:rFonts w:cs="Arial"/>
          <w:color w:val="0F243E" w:themeColor="text2" w:themeShade="80"/>
          <w:szCs w:val="24"/>
        </w:rPr>
        <w:t xml:space="preserve"> </w:t>
      </w:r>
      <w:r w:rsidR="00CF177A" w:rsidRPr="00596CE1">
        <w:rPr>
          <w:rFonts w:cs="Arial"/>
          <w:color w:val="0F243E" w:themeColor="text2" w:themeShade="80"/>
          <w:szCs w:val="24"/>
        </w:rPr>
        <w:t>A recent example came from Ireland, which</w:t>
      </w:r>
      <w:r w:rsidR="00DC7129" w:rsidRPr="00596CE1">
        <w:rPr>
          <w:rFonts w:cs="Arial"/>
          <w:color w:val="0F243E" w:themeColor="text2" w:themeShade="80"/>
          <w:szCs w:val="24"/>
        </w:rPr>
        <w:t xml:space="preserve"> spends over €2 billion on medicines each year and the share of the healthcare budget is growing. A representative </w:t>
      </w:r>
      <w:r w:rsidR="00CF177A" w:rsidRPr="00596CE1">
        <w:rPr>
          <w:rFonts w:cs="Arial"/>
          <w:color w:val="0F243E" w:themeColor="text2" w:themeShade="80"/>
          <w:szCs w:val="24"/>
        </w:rPr>
        <w:t>of the Irish HTA agency said</w:t>
      </w:r>
      <w:r w:rsidR="00DC7129" w:rsidRPr="00596CE1">
        <w:rPr>
          <w:rFonts w:cs="Arial"/>
          <w:color w:val="0F243E" w:themeColor="text2" w:themeShade="80"/>
          <w:szCs w:val="24"/>
        </w:rPr>
        <w:t xml:space="preserve"> the state was being asked by some companies to pay “for exceptionally expensive drugs that did not work”, and that some companies “created an emotional demand, overcharging for treatment by up to 100%”, and the cost of medicines was becoming unsustainable. The body had evaluated 21 cancer medicines between January 2016 and December 2017 of which 20 were not considered cost-effective </w:t>
      </w:r>
      <w:r w:rsidR="00CF177A" w:rsidRPr="00596CE1">
        <w:rPr>
          <w:rFonts w:cs="Arial"/>
          <w:color w:val="0F243E" w:themeColor="text2" w:themeShade="80"/>
          <w:szCs w:val="24"/>
        </w:rPr>
        <w:t>a</w:t>
      </w:r>
      <w:r w:rsidR="00DC7129" w:rsidRPr="00596CE1">
        <w:rPr>
          <w:rFonts w:cs="Arial"/>
          <w:color w:val="0F243E" w:themeColor="text2" w:themeShade="80"/>
          <w:szCs w:val="24"/>
        </w:rPr>
        <w:t>t the asking price.</w:t>
      </w:r>
      <w:r w:rsidR="00DC7129" w:rsidRPr="00596CE1">
        <w:rPr>
          <w:rStyle w:val="FootnoteReference"/>
          <w:rFonts w:cs="Arial"/>
          <w:color w:val="0F243E" w:themeColor="text2" w:themeShade="80"/>
          <w:szCs w:val="24"/>
        </w:rPr>
        <w:footnoteReference w:id="14"/>
      </w:r>
      <w:r w:rsidR="00DC7129" w:rsidRPr="00596CE1">
        <w:rPr>
          <w:rFonts w:cs="Arial"/>
          <w:color w:val="0F243E" w:themeColor="text2" w:themeShade="80"/>
          <w:szCs w:val="24"/>
        </w:rPr>
        <w:t xml:space="preserve"> </w:t>
      </w:r>
    </w:p>
    <w:p w14:paraId="026F1956" w14:textId="2DA77833" w:rsidR="007E7F0C" w:rsidRPr="00596CE1" w:rsidRDefault="00D44171">
      <w:pPr>
        <w:spacing w:after="120" w:line="276" w:lineRule="auto"/>
        <w:jc w:val="both"/>
        <w:rPr>
          <w:color w:val="0F243E" w:themeColor="text2" w:themeShade="80"/>
        </w:rPr>
      </w:pPr>
      <w:r w:rsidRPr="00D9796C">
        <w:rPr>
          <w:rFonts w:cs="Arial"/>
          <w:szCs w:val="24"/>
        </w:rPr>
        <w:t>The added therapeutic value of innovative medicines is debated; some sources claim that most new medicines do not add anything significant to the existing treatment options, and some may even do more harm.</w:t>
      </w:r>
      <w:r w:rsidRPr="00D9796C">
        <w:rPr>
          <w:rStyle w:val="EndnoteReference"/>
          <w:rFonts w:cs="Arial"/>
          <w:szCs w:val="24"/>
        </w:rPr>
        <w:endnoteReference w:id="27"/>
      </w:r>
      <w:r w:rsidRPr="00D9796C">
        <w:rPr>
          <w:rFonts w:cs="Arial"/>
          <w:szCs w:val="24"/>
        </w:rPr>
        <w:t xml:space="preserve"> </w:t>
      </w:r>
      <w:r w:rsidR="00CF177A" w:rsidRPr="00596CE1">
        <w:rPr>
          <w:rFonts w:cs="Arial"/>
          <w:color w:val="0F243E" w:themeColor="text2" w:themeShade="80"/>
          <w:szCs w:val="24"/>
        </w:rPr>
        <w:t xml:space="preserve">Recent studies published </w:t>
      </w:r>
      <w:r w:rsidR="001D4278" w:rsidRPr="00596CE1">
        <w:rPr>
          <w:rFonts w:cs="Arial"/>
          <w:color w:val="0F243E" w:themeColor="text2" w:themeShade="80"/>
          <w:szCs w:val="24"/>
        </w:rPr>
        <w:t>in the BMJ</w:t>
      </w:r>
      <w:r w:rsidR="000857DA" w:rsidRPr="00596CE1">
        <w:rPr>
          <w:rFonts w:cs="Arial"/>
          <w:color w:val="0F243E" w:themeColor="text2" w:themeShade="80"/>
          <w:szCs w:val="24"/>
        </w:rPr>
        <w:t xml:space="preserve"> showed that most cancer medicines approved in Europe by the EMA between 2009 and 2013 and in the US by the FDA between 2008 and 2012, were based on “flimsy or untested surrogate outcomes”</w:t>
      </w:r>
      <w:r w:rsidR="000148EB" w:rsidRPr="00596CE1">
        <w:rPr>
          <w:rFonts w:cs="Arial"/>
          <w:color w:val="0F243E" w:themeColor="text2" w:themeShade="80"/>
          <w:szCs w:val="24"/>
        </w:rPr>
        <w:t xml:space="preserve"> without evidence of improved survival or indeed quality of life. This was the case for 57% of the EMA and 67% of FDA approvals. Furthermore, d</w:t>
      </w:r>
      <w:r w:rsidR="000857DA" w:rsidRPr="00596CE1">
        <w:rPr>
          <w:rFonts w:cs="Arial"/>
          <w:color w:val="0F243E" w:themeColor="text2" w:themeShade="80"/>
          <w:szCs w:val="24"/>
        </w:rPr>
        <w:t>espite remaining several years on the market</w:t>
      </w:r>
      <w:r w:rsidR="000148EB" w:rsidRPr="00596CE1">
        <w:rPr>
          <w:rFonts w:cs="Arial"/>
          <w:color w:val="0F243E" w:themeColor="text2" w:themeShade="80"/>
          <w:szCs w:val="24"/>
        </w:rPr>
        <w:t xml:space="preserve"> and having a high cost</w:t>
      </w:r>
      <w:r w:rsidR="000857DA" w:rsidRPr="00596CE1">
        <w:rPr>
          <w:rFonts w:cs="Arial"/>
          <w:color w:val="0F243E" w:themeColor="text2" w:themeShade="80"/>
          <w:szCs w:val="24"/>
        </w:rPr>
        <w:t xml:space="preserve">, </w:t>
      </w:r>
      <w:r w:rsidR="000148EB" w:rsidRPr="00596CE1">
        <w:rPr>
          <w:rFonts w:cs="Arial"/>
          <w:color w:val="0F243E" w:themeColor="text2" w:themeShade="80"/>
          <w:szCs w:val="24"/>
        </w:rPr>
        <w:t xml:space="preserve">only few of the new medicines– 15% of EMA-approved and 14% of FDA approved managed to show </w:t>
      </w:r>
      <w:r w:rsidR="000857DA" w:rsidRPr="00596CE1">
        <w:rPr>
          <w:rFonts w:cs="Arial"/>
          <w:color w:val="0F243E" w:themeColor="text2" w:themeShade="80"/>
          <w:szCs w:val="24"/>
        </w:rPr>
        <w:t>clinically meaningful benefits for patients.</w:t>
      </w:r>
      <w:r w:rsidR="000148EB" w:rsidRPr="00596CE1">
        <w:rPr>
          <w:rStyle w:val="EndnoteReference"/>
          <w:rFonts w:cs="Arial"/>
          <w:color w:val="0F243E" w:themeColor="text2" w:themeShade="80"/>
          <w:szCs w:val="24"/>
        </w:rPr>
        <w:endnoteReference w:id="28"/>
      </w:r>
      <w:r w:rsidR="000857DA" w:rsidRPr="00596CE1">
        <w:rPr>
          <w:rFonts w:cs="Arial"/>
          <w:color w:val="0F243E" w:themeColor="text2" w:themeShade="80"/>
          <w:szCs w:val="24"/>
        </w:rPr>
        <w:t xml:space="preserve"> </w:t>
      </w:r>
      <w:r w:rsidR="000148EB" w:rsidRPr="00596CE1">
        <w:rPr>
          <w:rFonts w:cs="Arial"/>
          <w:color w:val="0F243E" w:themeColor="text2" w:themeShade="80"/>
          <w:szCs w:val="24"/>
        </w:rPr>
        <w:t>A cancer patient commented that such figures “should give pause for thought to those lobbying for accelerated access to new concert medicines, including patient organisations</w:t>
      </w:r>
      <w:r w:rsidRPr="00596CE1">
        <w:rPr>
          <w:rFonts w:cs="Arial"/>
          <w:color w:val="0F243E" w:themeColor="text2" w:themeShade="80"/>
          <w:szCs w:val="24"/>
        </w:rPr>
        <w:t>. The cost to the public purse is mind boggling; the cost to patients who directly bear the burden of ineffective and toxic treatments, incalculable.”</w:t>
      </w:r>
      <w:r w:rsidRPr="00596CE1">
        <w:rPr>
          <w:rStyle w:val="EndnoteReference"/>
          <w:rFonts w:cs="Arial"/>
          <w:color w:val="0F243E" w:themeColor="text2" w:themeShade="80"/>
          <w:szCs w:val="24"/>
        </w:rPr>
        <w:endnoteReference w:id="29"/>
      </w:r>
    </w:p>
    <w:p w14:paraId="687FC2BA" w14:textId="3D64D4B8" w:rsidR="00421B64" w:rsidRDefault="00B902D0">
      <w:pPr>
        <w:spacing w:after="120" w:line="276" w:lineRule="auto"/>
        <w:jc w:val="both"/>
        <w:rPr>
          <w:rFonts w:cs="Arial"/>
          <w:szCs w:val="24"/>
        </w:rPr>
      </w:pPr>
      <w:r w:rsidRPr="00D9796C">
        <w:rPr>
          <w:rFonts w:cs="Arial"/>
          <w:szCs w:val="24"/>
        </w:rPr>
        <w:t xml:space="preserve">The concept of </w:t>
      </w:r>
      <w:r w:rsidRPr="00D9796C">
        <w:rPr>
          <w:rFonts w:cs="Arial"/>
          <w:i/>
          <w:szCs w:val="24"/>
        </w:rPr>
        <w:t>added therapeutic value</w:t>
      </w:r>
      <w:r w:rsidRPr="00D9796C">
        <w:rPr>
          <w:rFonts w:cs="Arial"/>
          <w:szCs w:val="24"/>
        </w:rPr>
        <w:t xml:space="preserve"> </w:t>
      </w:r>
      <w:r w:rsidR="00D44171">
        <w:rPr>
          <w:rFonts w:cs="Arial"/>
          <w:szCs w:val="24"/>
        </w:rPr>
        <w:t xml:space="preserve">is </w:t>
      </w:r>
      <w:r w:rsidRPr="00D9796C">
        <w:rPr>
          <w:rFonts w:cs="Arial"/>
          <w:szCs w:val="24"/>
        </w:rPr>
        <w:t>at the heart of the current discussions around medicines pricing</w:t>
      </w:r>
      <w:r w:rsidR="00D44171">
        <w:rPr>
          <w:rFonts w:cs="Arial"/>
          <w:szCs w:val="24"/>
        </w:rPr>
        <w:t xml:space="preserve">. It </w:t>
      </w:r>
      <w:r w:rsidRPr="00D9796C">
        <w:rPr>
          <w:rFonts w:cs="Arial"/>
          <w:szCs w:val="24"/>
        </w:rPr>
        <w:t>refers to a therapeutic advantage offered by a new med</w:t>
      </w:r>
      <w:r w:rsidR="00D44171">
        <w:rPr>
          <w:rFonts w:cs="Arial"/>
          <w:szCs w:val="24"/>
        </w:rPr>
        <w:t>icine compared to existing ones. However,</w:t>
      </w:r>
      <w:r w:rsidRPr="00D9796C">
        <w:rPr>
          <w:rFonts w:cs="Arial"/>
          <w:szCs w:val="24"/>
        </w:rPr>
        <w:t xml:space="preserve"> there is no universally agreed definition of the concept. A recent European Parliament study defined it as “the incremental ‘therapeutic value’ brought by a new drug or intervention compared with the best available treatment options already on the market. The therapeutic value can be defined in terms of patient-relevant endpoints and relevant levels of effectiveness, efficacy, and safety.” </w:t>
      </w:r>
      <w:r w:rsidRPr="00D9796C">
        <w:rPr>
          <w:rStyle w:val="EndnoteReference"/>
          <w:rFonts w:cs="Arial"/>
          <w:szCs w:val="24"/>
        </w:rPr>
        <w:endnoteReference w:id="30"/>
      </w:r>
      <w:r w:rsidRPr="00D9796C">
        <w:rPr>
          <w:rFonts w:cs="Arial"/>
          <w:szCs w:val="24"/>
        </w:rPr>
        <w:t xml:space="preserve"> </w:t>
      </w:r>
    </w:p>
    <w:p w14:paraId="5F9ADE8C" w14:textId="77777777"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53588124" w14:textId="77777777" w:rsidR="00103D7F" w:rsidRPr="00D9796C" w:rsidRDefault="00103D7F">
      <w:pPr>
        <w:spacing w:after="120" w:line="276" w:lineRule="auto"/>
        <w:jc w:val="both"/>
        <w:rPr>
          <w:rFonts w:cs="Arial"/>
          <w:szCs w:val="24"/>
        </w:rPr>
      </w:pPr>
    </w:p>
    <w:p w14:paraId="655CBC96" w14:textId="77777777" w:rsidR="00D44171" w:rsidRPr="0038165E" w:rsidRDefault="00D44171" w:rsidP="0038165E">
      <w:pPr>
        <w:pStyle w:val="Heading2"/>
        <w:numPr>
          <w:ilvl w:val="0"/>
          <w:numId w:val="0"/>
        </w:numPr>
        <w:spacing w:before="120" w:after="120" w:line="240" w:lineRule="auto"/>
        <w:rPr>
          <w:caps w:val="0"/>
          <w:sz w:val="24"/>
        </w:rPr>
      </w:pPr>
      <w:bookmarkStart w:id="14" w:name="_Toc511039286"/>
      <w:r w:rsidRPr="0038165E">
        <w:rPr>
          <w:caps w:val="0"/>
          <w:sz w:val="24"/>
        </w:rPr>
        <w:lastRenderedPageBreak/>
        <w:t>Assessing the real value of innovation: patients’ perspective is key</w:t>
      </w:r>
      <w:bookmarkEnd w:id="14"/>
      <w:r w:rsidRPr="0038165E">
        <w:rPr>
          <w:caps w:val="0"/>
          <w:sz w:val="24"/>
        </w:rPr>
        <w:t xml:space="preserve"> </w:t>
      </w:r>
    </w:p>
    <w:p w14:paraId="7ABEA722" w14:textId="77777777" w:rsidR="00D44171" w:rsidRPr="007A66EF" w:rsidRDefault="00D44171" w:rsidP="00AA32EC">
      <w:pPr>
        <w:spacing w:after="120" w:line="276" w:lineRule="auto"/>
        <w:jc w:val="both"/>
        <w:rPr>
          <w:rFonts w:cs="Arial"/>
          <w:szCs w:val="24"/>
        </w:rPr>
      </w:pPr>
      <w:r w:rsidRPr="007A66EF">
        <w:rPr>
          <w:rFonts w:cs="Arial"/>
          <w:szCs w:val="24"/>
        </w:rPr>
        <w:t xml:space="preserve">EPF believes </w:t>
      </w:r>
      <w:r w:rsidR="00B902D0" w:rsidRPr="007A66EF">
        <w:rPr>
          <w:rFonts w:cs="Arial"/>
          <w:szCs w:val="24"/>
        </w:rPr>
        <w:t xml:space="preserve">it is fundamentally unethical to spend limited public funds on therapies that do not have demonstrable added value. </w:t>
      </w:r>
      <w:r w:rsidRPr="00596CE1">
        <w:rPr>
          <w:rFonts w:cs="Arial"/>
          <w:color w:val="0F243E" w:themeColor="text2" w:themeShade="80"/>
          <w:szCs w:val="24"/>
        </w:rPr>
        <w:t xml:space="preserve">It is also unacceptable for patients to be needlessly exposed to therapies that may harm them while not providing any benefit. </w:t>
      </w:r>
      <w:r w:rsidRPr="007A66EF">
        <w:rPr>
          <w:rFonts w:cs="Arial"/>
          <w:szCs w:val="24"/>
        </w:rPr>
        <w:t>I</w:t>
      </w:r>
      <w:r w:rsidR="00B902D0" w:rsidRPr="007A66EF">
        <w:rPr>
          <w:rFonts w:cs="Arial"/>
          <w:szCs w:val="24"/>
        </w:rPr>
        <w:t>t</w:t>
      </w:r>
      <w:r w:rsidRPr="007A66EF">
        <w:rPr>
          <w:rFonts w:cs="Arial"/>
          <w:szCs w:val="24"/>
        </w:rPr>
        <w:t xml:space="preserve"> </w:t>
      </w:r>
      <w:r w:rsidR="00B902D0" w:rsidRPr="007A66EF">
        <w:rPr>
          <w:rFonts w:cs="Arial"/>
          <w:szCs w:val="24"/>
        </w:rPr>
        <w:t xml:space="preserve">is difficult to comment conclusively on assessments on specific medicines as long as it is </w:t>
      </w:r>
      <w:r w:rsidRPr="007A66EF">
        <w:rPr>
          <w:rFonts w:cs="Arial"/>
          <w:szCs w:val="24"/>
        </w:rPr>
        <w:t>un</w:t>
      </w:r>
      <w:r w:rsidR="00B902D0" w:rsidRPr="007A66EF">
        <w:rPr>
          <w:rFonts w:cs="Arial"/>
          <w:szCs w:val="24"/>
        </w:rPr>
        <w:t xml:space="preserve">clear how they </w:t>
      </w:r>
      <w:r w:rsidRPr="007A66EF">
        <w:rPr>
          <w:rFonts w:cs="Arial"/>
          <w:szCs w:val="24"/>
        </w:rPr>
        <w:t xml:space="preserve">actually </w:t>
      </w:r>
      <w:r w:rsidR="00B902D0" w:rsidRPr="007A66EF">
        <w:rPr>
          <w:rFonts w:cs="Arial"/>
          <w:szCs w:val="24"/>
        </w:rPr>
        <w:t>incorporated the patient’s perspective of the balance between benefits and harms</w:t>
      </w:r>
      <w:r w:rsidRPr="007A66EF">
        <w:rPr>
          <w:rFonts w:cs="Arial"/>
          <w:szCs w:val="24"/>
        </w:rPr>
        <w:t>.</w:t>
      </w:r>
      <w:r w:rsidR="00B902D0" w:rsidRPr="007A66EF">
        <w:rPr>
          <w:rFonts w:cs="Arial"/>
          <w:szCs w:val="24"/>
        </w:rPr>
        <w:t xml:space="preserve"> </w:t>
      </w:r>
    </w:p>
    <w:p w14:paraId="049AD88E" w14:textId="77777777" w:rsidR="00D44171" w:rsidRPr="00782FC3" w:rsidRDefault="00D44171" w:rsidP="00D44171">
      <w:pPr>
        <w:spacing w:after="120" w:line="276" w:lineRule="auto"/>
        <w:jc w:val="both"/>
        <w:rPr>
          <w:rFonts w:eastAsia="Times New Roman" w:cs="Arial"/>
          <w:szCs w:val="24"/>
        </w:rPr>
      </w:pPr>
      <w:r w:rsidRPr="00782FC3">
        <w:rPr>
          <w:rFonts w:eastAsia="Times New Roman" w:cs="Arial"/>
          <w:szCs w:val="24"/>
        </w:rPr>
        <w:t xml:space="preserve">Patients’ engagement is vital </w:t>
      </w:r>
      <w:r>
        <w:rPr>
          <w:rFonts w:eastAsia="Times New Roman" w:cs="Arial"/>
          <w:szCs w:val="24"/>
        </w:rPr>
        <w:t xml:space="preserve"> </w:t>
      </w:r>
      <w:r w:rsidRPr="00782FC3">
        <w:rPr>
          <w:rFonts w:eastAsia="Times New Roman" w:cs="Arial"/>
          <w:szCs w:val="24"/>
        </w:rPr>
        <w:t xml:space="preserve">both from a moral perspective, because the decisions directly impact patients’ lives and well-being, but also from a practical perspective, because a meaningful definition of “value” and “added therapeutic value” is only possible with the involvement of patients. </w:t>
      </w:r>
    </w:p>
    <w:p w14:paraId="18B79654" w14:textId="2117EFA4" w:rsidR="00AA32EC" w:rsidRPr="00596CE1" w:rsidRDefault="00D44171" w:rsidP="00AA32EC">
      <w:pPr>
        <w:spacing w:after="120" w:line="276" w:lineRule="auto"/>
        <w:jc w:val="both"/>
        <w:rPr>
          <w:rFonts w:cs="Arial"/>
          <w:color w:val="0F243E" w:themeColor="text2" w:themeShade="80"/>
          <w:szCs w:val="24"/>
        </w:rPr>
      </w:pPr>
      <w:r w:rsidRPr="00596CE1">
        <w:rPr>
          <w:rFonts w:cs="Arial"/>
          <w:i/>
          <w:color w:val="0F243E" w:themeColor="text2" w:themeShade="80"/>
          <w:szCs w:val="24"/>
        </w:rPr>
        <w:t>Patient</w:t>
      </w:r>
      <w:r w:rsidRPr="00596CE1">
        <w:rPr>
          <w:rFonts w:cs="Arial"/>
          <w:color w:val="0F243E" w:themeColor="text2" w:themeShade="80"/>
          <w:szCs w:val="24"/>
        </w:rPr>
        <w:t xml:space="preserve"> </w:t>
      </w:r>
      <w:r w:rsidRPr="00596CE1">
        <w:rPr>
          <w:rFonts w:cs="Arial"/>
          <w:i/>
          <w:color w:val="0F243E" w:themeColor="text2" w:themeShade="80"/>
          <w:szCs w:val="24"/>
        </w:rPr>
        <w:t>involvement is still not fully embedded in research</w:t>
      </w:r>
      <w:r w:rsidRPr="00596CE1">
        <w:rPr>
          <w:rFonts w:cs="Arial"/>
          <w:color w:val="0F243E" w:themeColor="text2" w:themeShade="80"/>
          <w:szCs w:val="24"/>
        </w:rPr>
        <w:t>. Measures to assess quality of life (for example) are not yet good enough. Uncertainties about added therapeutic value call for better, earlier and more meaningful patient involvement throughout the research and development process.</w:t>
      </w:r>
      <w:r w:rsidRPr="00596CE1">
        <w:rPr>
          <w:rFonts w:cs="Arial"/>
          <w:color w:val="0F243E" w:themeColor="text2" w:themeShade="80"/>
        </w:rPr>
        <w:t xml:space="preserve"> Patients can have a </w:t>
      </w:r>
      <w:r w:rsidRPr="00596CE1">
        <w:rPr>
          <w:rFonts w:cs="Arial"/>
          <w:i/>
          <w:color w:val="0F243E" w:themeColor="text2" w:themeShade="80"/>
        </w:rPr>
        <w:t>very different perspective of benefit and risk</w:t>
      </w:r>
      <w:r w:rsidRPr="00596CE1">
        <w:rPr>
          <w:rFonts w:cs="Arial"/>
          <w:color w:val="0F243E" w:themeColor="text2" w:themeShade="80"/>
        </w:rPr>
        <w:t>, different priorities (both in terms of quality-of-life factors and prioritised clinical outcomes), and different levels of acceptance of potential risks, compared to medical professionals.</w:t>
      </w:r>
      <w:r w:rsidRPr="00596CE1">
        <w:rPr>
          <w:rStyle w:val="EndnoteReference"/>
          <w:rFonts w:cs="Arial"/>
          <w:color w:val="0F243E" w:themeColor="text2" w:themeShade="80"/>
        </w:rPr>
        <w:endnoteReference w:id="31"/>
      </w:r>
    </w:p>
    <w:p w14:paraId="1EB28B33" w14:textId="00999346" w:rsidR="00421B64" w:rsidRPr="00D9796C" w:rsidRDefault="00B902D0">
      <w:pPr>
        <w:spacing w:after="120" w:line="276" w:lineRule="auto"/>
        <w:jc w:val="both"/>
        <w:rPr>
          <w:rFonts w:cs="Arial"/>
          <w:szCs w:val="24"/>
        </w:rPr>
      </w:pPr>
      <w:r w:rsidRPr="00D9796C">
        <w:t xml:space="preserve">The importance of </w:t>
      </w:r>
      <w:r w:rsidRPr="00D44171">
        <w:t xml:space="preserve">incorporating the </w:t>
      </w:r>
      <w:r w:rsidRPr="00D44171">
        <w:rPr>
          <w:i/>
        </w:rPr>
        <w:t>patient perspective in HTA</w:t>
      </w:r>
      <w:r w:rsidRPr="00D9796C">
        <w:t xml:space="preserve"> is increasingly recognised,</w:t>
      </w:r>
      <w:r w:rsidR="001021FB">
        <w:rPr>
          <w:rStyle w:val="FootnoteReference"/>
        </w:rPr>
        <w:footnoteReference w:id="15"/>
      </w:r>
      <w:r w:rsidRPr="00D9796C">
        <w:rPr>
          <w:rStyle w:val="EndnoteReference"/>
        </w:rPr>
        <w:endnoteReference w:id="32"/>
      </w:r>
      <w:r w:rsidRPr="00D9796C">
        <w:t xml:space="preserve"> and the integration of </w:t>
      </w:r>
      <w:r w:rsidR="002A11C4" w:rsidRPr="00D9796C">
        <w:t>patient-reported and patient-relevant outcome measures</w:t>
      </w:r>
      <w:r w:rsidR="00D44171">
        <w:t xml:space="preserve"> </w:t>
      </w:r>
      <w:r w:rsidRPr="00D9796C">
        <w:t>in HTA is considered necessary in order to arrive at an accurate assessment of a medicine’s added value. But in practice, patient involvement in HTA is still very limited, and so far there is no agreement on the best method of involving patients.</w:t>
      </w:r>
      <w:r w:rsidRPr="00D9796C">
        <w:rPr>
          <w:rStyle w:val="EndnoteReference"/>
        </w:rPr>
        <w:endnoteReference w:id="33"/>
      </w:r>
      <w:r w:rsidR="00D44171">
        <w:t xml:space="preserve"> </w:t>
      </w:r>
      <w:r w:rsidRPr="00D9796C">
        <w:rPr>
          <w:rFonts w:cs="Arial"/>
          <w:szCs w:val="24"/>
        </w:rPr>
        <w:t xml:space="preserve">The patient experience may be difficult to capture fully in formal </w:t>
      </w:r>
      <w:r w:rsidR="00D44171">
        <w:rPr>
          <w:rFonts w:cs="Arial"/>
          <w:szCs w:val="24"/>
        </w:rPr>
        <w:t xml:space="preserve">quantitative </w:t>
      </w:r>
      <w:r w:rsidRPr="00D9796C">
        <w:rPr>
          <w:rFonts w:cs="Arial"/>
          <w:szCs w:val="24"/>
        </w:rPr>
        <w:t xml:space="preserve">measures, and therefore qualitative evidence also needs to be integrated. </w:t>
      </w:r>
    </w:p>
    <w:p w14:paraId="10C23CA2" w14:textId="1008299B" w:rsidR="00FE7099" w:rsidRDefault="00B902D0">
      <w:pPr>
        <w:spacing w:after="240" w:line="276" w:lineRule="auto"/>
        <w:jc w:val="both"/>
        <w:rPr>
          <w:rFonts w:cs="Arial"/>
          <w:color w:val="0F243E" w:themeColor="text2" w:themeShade="80"/>
          <w:szCs w:val="24"/>
        </w:rPr>
      </w:pPr>
      <w:r w:rsidRPr="00D9796C">
        <w:rPr>
          <w:rFonts w:cs="Arial"/>
          <w:szCs w:val="24"/>
        </w:rPr>
        <w:t>Naturally several factors will play a part in the value assessment, including value for patients, value for money (cost-effectiveness) and budget impact. A company should not be able to dictate its price, even for medicines that do represent valuable innovation, if this makes the innovative medicine unaffordable and inaccessible.</w:t>
      </w:r>
      <w:r w:rsidR="00D7499F">
        <w:rPr>
          <w:rFonts w:cs="Arial"/>
          <w:szCs w:val="24"/>
        </w:rPr>
        <w:t xml:space="preserve"> </w:t>
      </w:r>
      <w:r w:rsidR="00D7499F" w:rsidRPr="00596CE1">
        <w:rPr>
          <w:rFonts w:cs="Arial"/>
          <w:color w:val="0F243E" w:themeColor="text2" w:themeShade="80"/>
          <w:szCs w:val="24"/>
        </w:rPr>
        <w:t>But ensuring meaningful patient involvement from the very start should go a long way towards ensuring that new medicines, by the time they come up for regulatory assessment, already present better added value for patients.</w:t>
      </w:r>
      <w:r w:rsidR="007A66EF" w:rsidRPr="00596CE1">
        <w:rPr>
          <w:rFonts w:cs="Arial"/>
          <w:color w:val="0F243E" w:themeColor="text2" w:themeShade="80"/>
          <w:szCs w:val="24"/>
        </w:rPr>
        <w:t xml:space="preserve"> </w:t>
      </w:r>
    </w:p>
    <w:p w14:paraId="055F2B95" w14:textId="37EF6A89" w:rsidR="00103D7F" w:rsidRPr="00103D7F" w:rsidRDefault="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19265252" w14:textId="171E30BB" w:rsidR="00421B64" w:rsidRPr="00C0566A" w:rsidRDefault="00813AD5">
      <w:pPr>
        <w:pStyle w:val="Heading2"/>
        <w:numPr>
          <w:ilvl w:val="1"/>
          <w:numId w:val="0"/>
        </w:numPr>
        <w:spacing w:before="120" w:after="120" w:line="240" w:lineRule="auto"/>
        <w:rPr>
          <w:caps w:val="0"/>
          <w:color w:val="365F90"/>
          <w:sz w:val="32"/>
          <w:szCs w:val="30"/>
        </w:rPr>
      </w:pPr>
      <w:bookmarkStart w:id="15" w:name="_Toc511039287"/>
      <w:r w:rsidRPr="00C0566A">
        <w:rPr>
          <w:caps w:val="0"/>
          <w:color w:val="365F90"/>
          <w:sz w:val="32"/>
          <w:szCs w:val="30"/>
        </w:rPr>
        <w:t>Adapting the system to new scientific and technological realities</w:t>
      </w:r>
      <w:bookmarkEnd w:id="15"/>
      <w:r w:rsidR="002F12C8" w:rsidRPr="00C0566A">
        <w:rPr>
          <w:caps w:val="0"/>
          <w:color w:val="365F90"/>
          <w:sz w:val="32"/>
          <w:szCs w:val="30"/>
        </w:rPr>
        <w:t xml:space="preserve"> </w:t>
      </w:r>
    </w:p>
    <w:p w14:paraId="0DEFA782" w14:textId="10D731E8" w:rsidR="00813AD5" w:rsidRPr="008F502D" w:rsidRDefault="00B902D0">
      <w:pPr>
        <w:spacing w:after="120" w:line="276" w:lineRule="auto"/>
        <w:jc w:val="both"/>
        <w:rPr>
          <w:rFonts w:cs="Arial"/>
          <w:szCs w:val="24"/>
        </w:rPr>
      </w:pPr>
      <w:r w:rsidRPr="008F502D">
        <w:rPr>
          <w:rFonts w:cs="Arial"/>
          <w:szCs w:val="24"/>
        </w:rPr>
        <w:t xml:space="preserve">Scientific advances in the area of </w:t>
      </w:r>
      <w:r w:rsidRPr="00D86109">
        <w:rPr>
          <w:rFonts w:cs="Arial"/>
          <w:i/>
          <w:szCs w:val="24"/>
        </w:rPr>
        <w:t>personalised medicine</w:t>
      </w:r>
      <w:r w:rsidRPr="008F502D">
        <w:rPr>
          <w:rFonts w:cs="Arial"/>
          <w:szCs w:val="24"/>
        </w:rPr>
        <w:t xml:space="preserve"> </w:t>
      </w:r>
      <w:r w:rsidR="00E44724" w:rsidRPr="00D86109">
        <w:rPr>
          <w:rFonts w:cs="Arial"/>
          <w:szCs w:val="24"/>
        </w:rPr>
        <w:t>may</w:t>
      </w:r>
      <w:r w:rsidR="00E44724" w:rsidRPr="008F502D">
        <w:rPr>
          <w:rFonts w:cs="Arial"/>
          <w:szCs w:val="24"/>
        </w:rPr>
        <w:t xml:space="preserve"> </w:t>
      </w:r>
      <w:r w:rsidRPr="008F502D">
        <w:rPr>
          <w:rFonts w:cs="Arial"/>
          <w:szCs w:val="24"/>
        </w:rPr>
        <w:t xml:space="preserve">have a major impact on medicines development, authorisation, pricing and reimbursement in the longer term as science moves towards more targeted populations, precision /personalised therapies, and predictive medicine. </w:t>
      </w:r>
      <w:r w:rsidR="00813AD5" w:rsidRPr="008F502D">
        <w:rPr>
          <w:rFonts w:cs="Arial"/>
          <w:szCs w:val="24"/>
        </w:rPr>
        <w:t>Personalised or stratified medicines, combinations, borderline products</w:t>
      </w:r>
      <w:r w:rsidR="00DF2EF9" w:rsidRPr="008F502D">
        <w:rPr>
          <w:rStyle w:val="FootnoteReference"/>
          <w:rFonts w:cs="Arial"/>
          <w:szCs w:val="24"/>
        </w:rPr>
        <w:footnoteReference w:id="16"/>
      </w:r>
      <w:r w:rsidR="00813AD5" w:rsidRPr="008F502D">
        <w:rPr>
          <w:rFonts w:cs="Arial"/>
          <w:szCs w:val="24"/>
        </w:rPr>
        <w:t xml:space="preserve">, and advanced therapies will require new ways of evaluation. They will also need new ways of managing clinical use; even </w:t>
      </w:r>
      <w:r w:rsidR="00813AD5" w:rsidRPr="008F502D">
        <w:rPr>
          <w:rFonts w:cs="Arial"/>
          <w:szCs w:val="24"/>
        </w:rPr>
        <w:lastRenderedPageBreak/>
        <w:t>when an initial assessment shows a positive benefit-risk, it is very likely that additional data will need to be collected over time.</w:t>
      </w:r>
      <w:r w:rsidR="00813AD5" w:rsidRPr="008F502D">
        <w:rPr>
          <w:rStyle w:val="EndnoteReference"/>
          <w:rFonts w:cs="Arial"/>
          <w:szCs w:val="24"/>
        </w:rPr>
        <w:endnoteReference w:id="34"/>
      </w:r>
    </w:p>
    <w:p w14:paraId="56FBAE83" w14:textId="6AB5ADB0" w:rsidR="003153A6" w:rsidRPr="008F502D" w:rsidRDefault="003153A6" w:rsidP="003153A6">
      <w:pPr>
        <w:spacing w:after="120" w:line="276" w:lineRule="auto"/>
        <w:jc w:val="both"/>
        <w:rPr>
          <w:rFonts w:cs="Arial"/>
          <w:szCs w:val="24"/>
        </w:rPr>
      </w:pPr>
      <w:r w:rsidRPr="008F502D">
        <w:rPr>
          <w:rFonts w:cs="Arial"/>
          <w:szCs w:val="24"/>
        </w:rPr>
        <w:t xml:space="preserve">The European Commission recently set up an expert group on Safe and Timely Access to Medicines for Patients </w:t>
      </w:r>
      <w:r w:rsidRPr="00D86109">
        <w:rPr>
          <w:rFonts w:cs="Arial"/>
          <w:szCs w:val="24"/>
        </w:rPr>
        <w:t>(STAMP)</w:t>
      </w:r>
      <w:r w:rsidRPr="00D86109">
        <w:rPr>
          <w:rStyle w:val="EndnoteReference"/>
          <w:rFonts w:cs="Arial"/>
          <w:szCs w:val="24"/>
        </w:rPr>
        <w:endnoteReference w:id="35"/>
      </w:r>
      <w:r w:rsidRPr="00D86109">
        <w:rPr>
          <w:rFonts w:cs="Arial"/>
          <w:szCs w:val="24"/>
        </w:rPr>
        <w:t>,</w:t>
      </w:r>
      <w:r w:rsidRPr="008F502D">
        <w:rPr>
          <w:rFonts w:cs="Arial"/>
          <w:szCs w:val="24"/>
        </w:rPr>
        <w:t xml:space="preserve"> where experts from Member States exchange information about the experience of Member States, examine national initiatives and identify ways to use more effectively the existing EU regulatory tools with the aim of improving patients’ access to medicine, in close collaboration with the European Medicines Agency. </w:t>
      </w:r>
    </w:p>
    <w:p w14:paraId="70112EF6" w14:textId="1F34E10D" w:rsidR="00596CE1" w:rsidRDefault="003153A6" w:rsidP="008579D3">
      <w:pPr>
        <w:spacing w:after="120" w:line="276" w:lineRule="auto"/>
        <w:jc w:val="both"/>
        <w:rPr>
          <w:rFonts w:cs="Arial"/>
          <w:szCs w:val="24"/>
        </w:rPr>
      </w:pPr>
      <w:r w:rsidRPr="008F502D">
        <w:rPr>
          <w:rFonts w:cs="Arial"/>
          <w:szCs w:val="24"/>
        </w:rPr>
        <w:t xml:space="preserve">New concepts that are being explored include that of </w:t>
      </w:r>
      <w:r w:rsidRPr="008F502D">
        <w:rPr>
          <w:rFonts w:cs="Arial"/>
          <w:b/>
          <w:szCs w:val="24"/>
        </w:rPr>
        <w:t>adaptive pathways</w:t>
      </w:r>
      <w:r w:rsidRPr="008F502D">
        <w:rPr>
          <w:rFonts w:cs="Arial"/>
          <w:szCs w:val="24"/>
        </w:rPr>
        <w:t>.</w:t>
      </w:r>
      <w:r w:rsidR="00E61435">
        <w:rPr>
          <w:rStyle w:val="FootnoteReference"/>
          <w:rFonts w:cs="Arial"/>
          <w:szCs w:val="24"/>
        </w:rPr>
        <w:footnoteReference w:id="17"/>
      </w:r>
      <w:r w:rsidR="00E61435">
        <w:rPr>
          <w:rStyle w:val="FootnoteReference"/>
          <w:rFonts w:cs="Arial"/>
          <w:szCs w:val="24"/>
        </w:rPr>
        <w:t xml:space="preserve"> </w:t>
      </w:r>
      <w:r w:rsidRPr="008F502D">
        <w:rPr>
          <w:rFonts w:cs="Arial"/>
          <w:szCs w:val="24"/>
        </w:rPr>
        <w:t xml:space="preserve"> This complex approach implies the need for more collaboration between the pharmaceutical, med-tech and IT industries, regulators, HTA, payers, medical professionals and patients.</w:t>
      </w:r>
      <w:r w:rsidR="00596CE1">
        <w:rPr>
          <w:rFonts w:cs="Arial"/>
          <w:szCs w:val="24"/>
        </w:rPr>
        <w:t xml:space="preserve"> </w:t>
      </w:r>
      <w:r w:rsidR="008579D3" w:rsidRPr="00596CE1">
        <w:rPr>
          <w:rFonts w:cs="Arial"/>
          <w:color w:val="0F243E" w:themeColor="text2" w:themeShade="80"/>
          <w:szCs w:val="24"/>
        </w:rPr>
        <w:t>EPF has been involved in a  coordination and support project funded under the innovative medicines initiative (IMI)  called ADAPT-SMART. This is not directly linked to the EMA’s work but ran in parallel from June 2015 until December 2017. This project investigated the conceptual framework that could be used in applying adaptive pathways, the required tools and methodologies, and the contribution of stakeholders including patients</w:t>
      </w:r>
      <w:r w:rsidR="008579D3" w:rsidRPr="008F502D">
        <w:rPr>
          <w:rFonts w:cs="Arial"/>
          <w:szCs w:val="24"/>
        </w:rPr>
        <w:t>.</w:t>
      </w:r>
      <w:r w:rsidR="00596CE1" w:rsidRPr="008F502D">
        <w:rPr>
          <w:rStyle w:val="EndnoteReference"/>
          <w:rFonts w:cs="Arial"/>
          <w:szCs w:val="24"/>
        </w:rPr>
        <w:endnoteReference w:id="36"/>
      </w:r>
      <w:r w:rsidR="00596CE1" w:rsidRPr="008F502D">
        <w:rPr>
          <w:rFonts w:cs="Arial"/>
          <w:szCs w:val="24"/>
        </w:rPr>
        <w:t xml:space="preserve"> </w:t>
      </w:r>
    </w:p>
    <w:p w14:paraId="42439F42" w14:textId="03E4800D" w:rsidR="00E056BA" w:rsidRDefault="008579D3" w:rsidP="008579D3">
      <w:pPr>
        <w:spacing w:after="120" w:line="276" w:lineRule="auto"/>
        <w:jc w:val="both"/>
        <w:rPr>
          <w:rFonts w:cs="Arial"/>
          <w:color w:val="0F243E" w:themeColor="text2" w:themeShade="80"/>
          <w:szCs w:val="24"/>
        </w:rPr>
      </w:pPr>
      <w:r w:rsidRPr="00596CE1">
        <w:rPr>
          <w:rFonts w:cs="Arial"/>
          <w:color w:val="0F243E" w:themeColor="text2" w:themeShade="80"/>
          <w:szCs w:val="24"/>
        </w:rPr>
        <w:t>In our view, a</w:t>
      </w:r>
      <w:r w:rsidR="00591030" w:rsidRPr="00596CE1">
        <w:rPr>
          <w:rFonts w:cs="Arial"/>
          <w:color w:val="0F243E" w:themeColor="text2" w:themeShade="80"/>
          <w:szCs w:val="24"/>
        </w:rPr>
        <w:t>daptive</w:t>
      </w:r>
      <w:r w:rsidRPr="00596CE1">
        <w:rPr>
          <w:rFonts w:cs="Arial"/>
          <w:color w:val="0F243E" w:themeColor="text2" w:themeShade="80"/>
          <w:szCs w:val="24"/>
        </w:rPr>
        <w:t xml:space="preserve"> </w:t>
      </w:r>
      <w:r w:rsidR="00591030" w:rsidRPr="00596CE1">
        <w:rPr>
          <w:rFonts w:cs="Arial"/>
          <w:color w:val="0F243E" w:themeColor="text2" w:themeShade="80"/>
          <w:szCs w:val="24"/>
        </w:rPr>
        <w:t xml:space="preserve">pathways </w:t>
      </w:r>
      <w:r w:rsidRPr="00596CE1">
        <w:rPr>
          <w:rFonts w:cs="Arial"/>
          <w:color w:val="0F243E" w:themeColor="text2" w:themeShade="80"/>
          <w:szCs w:val="24"/>
        </w:rPr>
        <w:t xml:space="preserve">should be seen as using </w:t>
      </w:r>
      <w:r w:rsidR="00591030" w:rsidRPr="00596CE1">
        <w:rPr>
          <w:rFonts w:cs="Arial"/>
          <w:color w:val="0F243E" w:themeColor="text2" w:themeShade="80"/>
          <w:szCs w:val="24"/>
        </w:rPr>
        <w:t xml:space="preserve">various </w:t>
      </w:r>
      <w:r w:rsidRPr="00596CE1">
        <w:rPr>
          <w:rFonts w:cs="Arial"/>
          <w:color w:val="0F243E" w:themeColor="text2" w:themeShade="80"/>
          <w:szCs w:val="24"/>
        </w:rPr>
        <w:t xml:space="preserve">existing </w:t>
      </w:r>
      <w:r w:rsidR="00591030" w:rsidRPr="00596CE1">
        <w:rPr>
          <w:rFonts w:cs="Arial"/>
          <w:color w:val="0F243E" w:themeColor="text2" w:themeShade="80"/>
          <w:szCs w:val="24"/>
        </w:rPr>
        <w:t>tools</w:t>
      </w:r>
      <w:r w:rsidRPr="00596CE1">
        <w:rPr>
          <w:rFonts w:cs="Arial"/>
          <w:color w:val="0F243E" w:themeColor="text2" w:themeShade="80"/>
          <w:szCs w:val="24"/>
        </w:rPr>
        <w:t xml:space="preserve"> to the maximum advantage, </w:t>
      </w:r>
      <w:r w:rsidR="00591030" w:rsidRPr="00596CE1">
        <w:rPr>
          <w:rFonts w:cs="Arial"/>
          <w:color w:val="0F243E" w:themeColor="text2" w:themeShade="80"/>
          <w:szCs w:val="24"/>
        </w:rPr>
        <w:t>including scientific advice</w:t>
      </w:r>
      <w:r w:rsidRPr="00596CE1">
        <w:rPr>
          <w:rFonts w:cs="Arial"/>
          <w:color w:val="0F243E" w:themeColor="text2" w:themeShade="80"/>
          <w:szCs w:val="24"/>
        </w:rPr>
        <w:t>,</w:t>
      </w:r>
      <w:r w:rsidR="00591030" w:rsidRPr="00596CE1">
        <w:rPr>
          <w:rFonts w:cs="Arial"/>
          <w:color w:val="0F243E" w:themeColor="text2" w:themeShade="80"/>
          <w:szCs w:val="24"/>
        </w:rPr>
        <w:t xml:space="preserve"> compassionate use</w:t>
      </w:r>
      <w:r w:rsidRPr="00596CE1">
        <w:rPr>
          <w:rFonts w:cs="Arial"/>
          <w:color w:val="0F243E" w:themeColor="text2" w:themeShade="80"/>
          <w:szCs w:val="24"/>
        </w:rPr>
        <w:t>,</w:t>
      </w:r>
      <w:r w:rsidR="00591030" w:rsidRPr="00596CE1">
        <w:rPr>
          <w:rFonts w:cs="Arial"/>
          <w:color w:val="0F243E" w:themeColor="text2" w:themeShade="80"/>
          <w:szCs w:val="24"/>
        </w:rPr>
        <w:t xml:space="preserve"> conditional approval for medicines addressing life-threatening conditions</w:t>
      </w:r>
      <w:r w:rsidRPr="00596CE1">
        <w:rPr>
          <w:rFonts w:cs="Arial"/>
          <w:color w:val="0F243E" w:themeColor="text2" w:themeShade="80"/>
          <w:szCs w:val="24"/>
        </w:rPr>
        <w:t xml:space="preserve">, </w:t>
      </w:r>
      <w:r w:rsidR="00591030" w:rsidRPr="00596CE1">
        <w:rPr>
          <w:rFonts w:cs="Arial"/>
          <w:color w:val="0F243E" w:themeColor="text2" w:themeShade="80"/>
          <w:szCs w:val="24"/>
        </w:rPr>
        <w:t>patient registries and tools that allow collection of real-life data.</w:t>
      </w:r>
      <w:r w:rsidR="00591030" w:rsidRPr="00596CE1">
        <w:rPr>
          <w:color w:val="0F243E" w:themeColor="text2" w:themeShade="80"/>
          <w:sz w:val="20"/>
        </w:rPr>
        <w:t xml:space="preserve"> </w:t>
      </w:r>
      <w:r w:rsidRPr="00596CE1">
        <w:rPr>
          <w:rFonts w:cs="Arial"/>
          <w:color w:val="0F243E" w:themeColor="text2" w:themeShade="80"/>
          <w:szCs w:val="24"/>
        </w:rPr>
        <w:t xml:space="preserve">They should not be seen as </w:t>
      </w:r>
      <w:r w:rsidR="00591030" w:rsidRPr="00596CE1">
        <w:rPr>
          <w:rFonts w:cs="Arial"/>
          <w:color w:val="0F243E" w:themeColor="text2" w:themeShade="80"/>
          <w:szCs w:val="24"/>
        </w:rPr>
        <w:t>a new authorisation model for medicines.</w:t>
      </w:r>
      <w:r w:rsidRPr="00596CE1">
        <w:rPr>
          <w:rFonts w:cs="Arial"/>
          <w:color w:val="0F243E" w:themeColor="text2" w:themeShade="80"/>
          <w:szCs w:val="24"/>
        </w:rPr>
        <w:t xml:space="preserve"> Patient safety and the patient perspective benefit and risk must always take precedence.</w:t>
      </w:r>
    </w:p>
    <w:p w14:paraId="76D6D991" w14:textId="6F200102"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088CC694" w14:textId="2DCECE73" w:rsidR="00E44724" w:rsidRPr="0038165E" w:rsidRDefault="00F6180E" w:rsidP="0038165E">
      <w:pPr>
        <w:pStyle w:val="Heading2"/>
        <w:numPr>
          <w:ilvl w:val="0"/>
          <w:numId w:val="0"/>
        </w:numPr>
        <w:spacing w:before="120" w:after="120" w:line="240" w:lineRule="auto"/>
        <w:rPr>
          <w:caps w:val="0"/>
          <w:sz w:val="24"/>
        </w:rPr>
      </w:pPr>
      <w:bookmarkStart w:id="16" w:name="_Toc511039288"/>
      <w:r w:rsidRPr="0038165E">
        <w:rPr>
          <w:caps w:val="0"/>
          <w:sz w:val="24"/>
        </w:rPr>
        <w:t>A “life-cycle” approach to evidence collection and decision-making</w:t>
      </w:r>
      <w:bookmarkEnd w:id="16"/>
      <w:r w:rsidRPr="0038165E">
        <w:rPr>
          <w:caps w:val="0"/>
          <w:sz w:val="24"/>
        </w:rPr>
        <w:t xml:space="preserve">  </w:t>
      </w:r>
    </w:p>
    <w:p w14:paraId="01FD9390" w14:textId="0607F5F0" w:rsidR="00D44171" w:rsidRPr="00D9796C" w:rsidRDefault="008579D3" w:rsidP="00D44171">
      <w:pPr>
        <w:spacing w:after="120" w:line="276" w:lineRule="auto"/>
        <w:jc w:val="both"/>
        <w:rPr>
          <w:rFonts w:cs="Arial"/>
          <w:szCs w:val="24"/>
        </w:rPr>
      </w:pPr>
      <w:r w:rsidRPr="00D9796C">
        <w:t>M</w:t>
      </w:r>
      <w:r w:rsidR="00D44171" w:rsidRPr="00D9796C">
        <w:rPr>
          <w:rFonts w:cs="Arial"/>
        </w:rPr>
        <w:t>any</w:t>
      </w:r>
      <w:r>
        <w:rPr>
          <w:rFonts w:cs="Arial"/>
        </w:rPr>
        <w:t xml:space="preserve"> </w:t>
      </w:r>
      <w:r w:rsidR="00D44171" w:rsidRPr="00D9796C">
        <w:rPr>
          <w:rFonts w:cs="Arial"/>
        </w:rPr>
        <w:t>products come</w:t>
      </w:r>
      <w:r w:rsidR="00D44171" w:rsidRPr="00D9796C">
        <w:rPr>
          <w:rFonts w:cs="Arial"/>
          <w:szCs w:val="24"/>
        </w:rPr>
        <w:t xml:space="preserve"> with high uncertainty at the time of marketing authorisation – i.e., with evidence hinting at the value the product may have, but with a lack of sufficiently comprehensive data to completely back up that estimation. Therefore, a given product may not be in a position to have “demonstrated” added value at the time of marketing authorisation but may well demonstrate this over time, thanks to the </w:t>
      </w:r>
      <w:proofErr w:type="spellStart"/>
      <w:r w:rsidR="00D44171" w:rsidRPr="00D9796C">
        <w:rPr>
          <w:rFonts w:cs="Arial"/>
          <w:szCs w:val="24"/>
        </w:rPr>
        <w:t>ongoing</w:t>
      </w:r>
      <w:proofErr w:type="spellEnd"/>
      <w:r w:rsidR="00D44171" w:rsidRPr="00D9796C">
        <w:rPr>
          <w:rFonts w:cs="Arial"/>
          <w:szCs w:val="24"/>
        </w:rPr>
        <w:t xml:space="preserve"> collection of real-world data. </w:t>
      </w:r>
    </w:p>
    <w:p w14:paraId="144C15F3" w14:textId="083E48B9" w:rsidR="00421B64" w:rsidRPr="008F502D" w:rsidRDefault="00E43CA6">
      <w:pPr>
        <w:spacing w:after="120" w:line="276" w:lineRule="auto"/>
        <w:jc w:val="both"/>
        <w:rPr>
          <w:rFonts w:cs="Arial"/>
          <w:szCs w:val="24"/>
        </w:rPr>
      </w:pPr>
      <w:r w:rsidRPr="008F502D">
        <w:rPr>
          <w:rFonts w:cs="Arial"/>
          <w:szCs w:val="24"/>
        </w:rPr>
        <w:t>A new</w:t>
      </w:r>
      <w:r w:rsidR="00D11967" w:rsidRPr="008F502D">
        <w:rPr>
          <w:rFonts w:cs="Arial"/>
          <w:szCs w:val="24"/>
        </w:rPr>
        <w:t>,</w:t>
      </w:r>
      <w:r w:rsidRPr="008F502D">
        <w:rPr>
          <w:rFonts w:cs="Arial"/>
          <w:szCs w:val="24"/>
        </w:rPr>
        <w:t xml:space="preserve"> collaborative mind</w:t>
      </w:r>
      <w:r w:rsidR="00D11967" w:rsidRPr="008F502D">
        <w:rPr>
          <w:rFonts w:cs="Arial"/>
          <w:szCs w:val="24"/>
        </w:rPr>
        <w:t>-</w:t>
      </w:r>
      <w:r w:rsidRPr="008F502D">
        <w:rPr>
          <w:rFonts w:cs="Arial"/>
          <w:szCs w:val="24"/>
        </w:rPr>
        <w:t xml:space="preserve">set, involving </w:t>
      </w:r>
      <w:r w:rsidR="00B902D0" w:rsidRPr="008F502D">
        <w:rPr>
          <w:rFonts w:cs="Arial"/>
          <w:b/>
          <w:szCs w:val="24"/>
        </w:rPr>
        <w:t>early dialogue between all of the stakeholders</w:t>
      </w:r>
      <w:r w:rsidR="00B902D0" w:rsidRPr="008F502D">
        <w:rPr>
          <w:rFonts w:cs="Arial"/>
          <w:szCs w:val="24"/>
        </w:rPr>
        <w:t xml:space="preserve"> at EU level is needed from the earliest stages of medicines research and development</w:t>
      </w:r>
      <w:r w:rsidRPr="008F502D">
        <w:rPr>
          <w:rFonts w:cs="Arial"/>
          <w:szCs w:val="24"/>
        </w:rPr>
        <w:t>, building on existing examples such as the SEED and MOCA initiatives.</w:t>
      </w:r>
      <w:r w:rsidRPr="008F502D">
        <w:rPr>
          <w:rStyle w:val="EndnoteReference"/>
          <w:rFonts w:cs="Arial"/>
          <w:szCs w:val="24"/>
        </w:rPr>
        <w:endnoteReference w:id="37"/>
      </w:r>
      <w:r w:rsidRPr="008F502D">
        <w:rPr>
          <w:rFonts w:cs="Arial"/>
          <w:szCs w:val="24"/>
        </w:rPr>
        <w:t xml:space="preserve"> </w:t>
      </w:r>
      <w:r w:rsidR="00B902D0" w:rsidRPr="008F502D">
        <w:rPr>
          <w:rFonts w:cs="Arial"/>
          <w:szCs w:val="24"/>
        </w:rPr>
        <w:t>The mechanisms ensuring input from patients must be expanded and strengthened</w:t>
      </w:r>
      <w:r w:rsidR="00B34634" w:rsidRPr="008F502D">
        <w:rPr>
          <w:rFonts w:cs="Arial"/>
          <w:szCs w:val="24"/>
        </w:rPr>
        <w:t>,</w:t>
      </w:r>
      <w:r w:rsidR="00B902D0" w:rsidRPr="008F502D">
        <w:rPr>
          <w:rFonts w:cs="Arial"/>
          <w:szCs w:val="24"/>
        </w:rPr>
        <w:t xml:space="preserve"> also nationally. This will help identify anticipated benefits and value, outcomes for patients. An early dialogue will also result in a more reliable basis for pricing. It will make the process of R&amp;D more predictable for the industry and could enable </w:t>
      </w:r>
      <w:r w:rsidR="003D686C" w:rsidRPr="008F502D">
        <w:rPr>
          <w:rFonts w:cs="Arial"/>
          <w:szCs w:val="24"/>
        </w:rPr>
        <w:t>M</w:t>
      </w:r>
      <w:r w:rsidR="00B902D0" w:rsidRPr="008F502D">
        <w:rPr>
          <w:rFonts w:cs="Arial"/>
          <w:szCs w:val="24"/>
        </w:rPr>
        <w:t xml:space="preserve">ember </w:t>
      </w:r>
      <w:r w:rsidR="003D686C" w:rsidRPr="008F502D">
        <w:rPr>
          <w:rFonts w:cs="Arial"/>
          <w:szCs w:val="24"/>
        </w:rPr>
        <w:t>S</w:t>
      </w:r>
      <w:r w:rsidR="00B902D0" w:rsidRPr="008F502D">
        <w:rPr>
          <w:rFonts w:cs="Arial"/>
          <w:szCs w:val="24"/>
        </w:rPr>
        <w:t xml:space="preserve">tates </w:t>
      </w:r>
      <w:r w:rsidR="00B902D0" w:rsidRPr="008F502D">
        <w:rPr>
          <w:rFonts w:cs="Arial"/>
          <w:szCs w:val="24"/>
        </w:rPr>
        <w:lastRenderedPageBreak/>
        <w:t>and patients to have more of a steering role on the R&amp;D priorities of companies</w:t>
      </w:r>
      <w:r w:rsidR="002257FA" w:rsidRPr="008F502D">
        <w:rPr>
          <w:rFonts w:cs="Arial"/>
          <w:szCs w:val="24"/>
        </w:rPr>
        <w:t xml:space="preserve"> to ensure public health needs are given </w:t>
      </w:r>
      <w:r w:rsidR="00D11967" w:rsidRPr="008F502D">
        <w:rPr>
          <w:rFonts w:cs="Arial"/>
          <w:szCs w:val="24"/>
        </w:rPr>
        <w:t xml:space="preserve">due </w:t>
      </w:r>
      <w:r w:rsidR="002257FA" w:rsidRPr="008F502D">
        <w:rPr>
          <w:rFonts w:cs="Arial"/>
          <w:szCs w:val="24"/>
        </w:rPr>
        <w:t>attention</w:t>
      </w:r>
      <w:r w:rsidR="00B902D0" w:rsidRPr="008F502D">
        <w:rPr>
          <w:rFonts w:cs="Arial"/>
          <w:szCs w:val="24"/>
        </w:rPr>
        <w:t>.</w:t>
      </w:r>
    </w:p>
    <w:p w14:paraId="620E7869" w14:textId="48A44D45" w:rsidR="008579D3" w:rsidRPr="00E61435" w:rsidRDefault="008579D3" w:rsidP="008579D3">
      <w:pPr>
        <w:spacing w:after="120" w:line="276" w:lineRule="auto"/>
        <w:jc w:val="both"/>
        <w:rPr>
          <w:rFonts w:cs="Arial"/>
          <w:color w:val="0F243E" w:themeColor="text2" w:themeShade="80"/>
          <w:szCs w:val="24"/>
        </w:rPr>
      </w:pPr>
      <w:r w:rsidRPr="008F502D">
        <w:rPr>
          <w:rFonts w:cs="Arial"/>
          <w:szCs w:val="24"/>
        </w:rPr>
        <w:t xml:space="preserve">To manage the risks associated with uncertainties regarding the value of new medicines compared to the high prices, Member states are increasingly using a variety of tools that are collectively referred to as </w:t>
      </w:r>
      <w:r w:rsidRPr="008F502D">
        <w:rPr>
          <w:rFonts w:cs="Arial"/>
          <w:b/>
          <w:szCs w:val="24"/>
        </w:rPr>
        <w:t>managed entry agreements</w:t>
      </w:r>
      <w:r w:rsidRPr="008F502D">
        <w:rPr>
          <w:rFonts w:cs="Arial"/>
          <w:szCs w:val="24"/>
        </w:rPr>
        <w:t xml:space="preserve"> (MEAs). These range from instruments with a rather narrow financial focus such as rebates and discounts linked to price-volume agreements and capping schemes, to more outcomes-focused approaches where the company is obliged to provide additional data on real-life performance of a medicine. They all have the common aim of facilitating access to new medicines in a context of uncertainty and high prices.</w:t>
      </w:r>
      <w:r w:rsidRPr="008F502D">
        <w:rPr>
          <w:rStyle w:val="EndnoteReference"/>
          <w:rFonts w:cs="Arial"/>
          <w:szCs w:val="24"/>
        </w:rPr>
        <w:endnoteReference w:id="38"/>
      </w:r>
      <w:r>
        <w:rPr>
          <w:rFonts w:cs="Arial"/>
          <w:szCs w:val="24"/>
        </w:rPr>
        <w:t xml:space="preserve"> </w:t>
      </w:r>
      <w:r w:rsidRPr="008F502D">
        <w:rPr>
          <w:rFonts w:cs="Arial"/>
          <w:szCs w:val="24"/>
        </w:rPr>
        <w:t>From the patient perspective, purely financial measures are problematic as they are essentially sticky-patch solutions, reflecting failures of the system. They are also focused on the short-term, and their benefits appear dependent on the secrecy of negotiations.</w:t>
      </w:r>
      <w:r>
        <w:rPr>
          <w:rFonts w:cs="Arial"/>
          <w:szCs w:val="24"/>
        </w:rPr>
        <w:t xml:space="preserve"> </w:t>
      </w:r>
      <w:r w:rsidRPr="008F502D">
        <w:rPr>
          <w:rFonts w:cs="Arial"/>
          <w:szCs w:val="24"/>
        </w:rPr>
        <w:t xml:space="preserve">MEAs aimed at collecting evidence of treatment outcomes over a longer time and linking pricing and reimbursement to added value </w:t>
      </w:r>
      <w:r>
        <w:rPr>
          <w:rFonts w:cs="Arial"/>
          <w:szCs w:val="24"/>
        </w:rPr>
        <w:t xml:space="preserve">are </w:t>
      </w:r>
      <w:r w:rsidRPr="008F502D">
        <w:rPr>
          <w:rFonts w:cs="Arial"/>
          <w:szCs w:val="24"/>
        </w:rPr>
        <w:t xml:space="preserve">more interesting as they are aimed at managing uncertainties and at ensuring that the right patients benefit from the treatments. </w:t>
      </w:r>
      <w:r w:rsidRPr="00E61435">
        <w:rPr>
          <w:rFonts w:cs="Arial"/>
          <w:color w:val="0F243E" w:themeColor="text2" w:themeShade="80"/>
          <w:szCs w:val="24"/>
        </w:rPr>
        <w:t xml:space="preserve">However, in the experience of </w:t>
      </w:r>
      <w:r w:rsidR="00E61435">
        <w:rPr>
          <w:rFonts w:cs="Arial"/>
          <w:color w:val="0F243E" w:themeColor="text2" w:themeShade="80"/>
          <w:szCs w:val="24"/>
        </w:rPr>
        <w:t>some Member States</w:t>
      </w:r>
      <w:r w:rsidRPr="00E61435">
        <w:rPr>
          <w:rFonts w:cs="Arial"/>
          <w:color w:val="0F243E" w:themeColor="text2" w:themeShade="80"/>
          <w:szCs w:val="24"/>
        </w:rPr>
        <w:t xml:space="preserve">, they are onerous to implement and costly, and are not producing very good quality data (AIFA presentation, </w:t>
      </w:r>
      <w:r w:rsidR="00E61435">
        <w:rPr>
          <w:rFonts w:cs="Arial"/>
          <w:color w:val="0F243E" w:themeColor="text2" w:themeShade="80"/>
          <w:szCs w:val="24"/>
        </w:rPr>
        <w:t xml:space="preserve">International symposium on the accessibility of innovative medicines, London, </w:t>
      </w:r>
      <w:r w:rsidRPr="00E61435">
        <w:rPr>
          <w:rFonts w:cs="Arial"/>
          <w:color w:val="0F243E" w:themeColor="text2" w:themeShade="80"/>
          <w:szCs w:val="24"/>
        </w:rPr>
        <w:t xml:space="preserve">December 2017). </w:t>
      </w:r>
    </w:p>
    <w:p w14:paraId="45F2BC21" w14:textId="2993B1ED" w:rsidR="00421B64" w:rsidRDefault="008579D3">
      <w:pPr>
        <w:spacing w:after="120" w:line="276" w:lineRule="auto"/>
        <w:jc w:val="both"/>
        <w:rPr>
          <w:rFonts w:cs="Arial"/>
          <w:szCs w:val="24"/>
        </w:rPr>
      </w:pPr>
      <w:r w:rsidRPr="00E61435">
        <w:rPr>
          <w:rFonts w:cs="Arial"/>
          <w:b/>
          <w:color w:val="0F243E" w:themeColor="text2" w:themeShade="80"/>
          <w:szCs w:val="24"/>
        </w:rPr>
        <w:t>A more comprehensive, robust and smart system for collecting real-world data is needed</w:t>
      </w:r>
      <w:r w:rsidRPr="00E61435">
        <w:rPr>
          <w:rFonts w:cs="Arial"/>
          <w:color w:val="0F243E" w:themeColor="text2" w:themeShade="80"/>
          <w:szCs w:val="24"/>
        </w:rPr>
        <w:t xml:space="preserve">. </w:t>
      </w:r>
      <w:r w:rsidR="00B902D0" w:rsidRPr="008F502D">
        <w:rPr>
          <w:rFonts w:cs="Arial"/>
          <w:b/>
          <w:szCs w:val="24"/>
        </w:rPr>
        <w:t>Systematic collection of real-world evidence</w:t>
      </w:r>
      <w:r w:rsidR="00B902D0" w:rsidRPr="008F502D">
        <w:rPr>
          <w:rFonts w:cs="Arial"/>
          <w:szCs w:val="24"/>
        </w:rPr>
        <w:t xml:space="preserve"> is the key to the success of </w:t>
      </w:r>
      <w:r w:rsidRPr="00E61435">
        <w:rPr>
          <w:rFonts w:cs="Arial"/>
          <w:szCs w:val="24"/>
        </w:rPr>
        <w:t xml:space="preserve">flexible </w:t>
      </w:r>
      <w:r w:rsidR="00B902D0" w:rsidRPr="008F502D">
        <w:rPr>
          <w:rFonts w:cs="Arial"/>
          <w:szCs w:val="24"/>
        </w:rPr>
        <w:t xml:space="preserve">approaches: robust systems must be in place for post-market data collection (on ADRs, changes to the benefit-risk balance, health outcomes in different patient groups). The necessary infrastructure must be put in place for systematic collection of real-world evidence, particularly through well-designed, interoperable registries, to capture treatment outcomes both successful and unsuccessful, and including off-label use. </w:t>
      </w:r>
      <w:r w:rsidR="002D521A" w:rsidRPr="008F502D">
        <w:rPr>
          <w:rFonts w:cs="Arial"/>
          <w:szCs w:val="24"/>
        </w:rPr>
        <w:t xml:space="preserve">The system needs to ensure companies’ compliance with their data-collection obligations; the </w:t>
      </w:r>
      <w:r w:rsidR="00B902D0" w:rsidRPr="008F502D">
        <w:rPr>
          <w:rFonts w:cs="Arial"/>
          <w:szCs w:val="24"/>
        </w:rPr>
        <w:t xml:space="preserve">information collected must </w:t>
      </w:r>
      <w:r w:rsidR="002D521A" w:rsidRPr="008F502D">
        <w:rPr>
          <w:rFonts w:cs="Arial"/>
          <w:szCs w:val="24"/>
        </w:rPr>
        <w:t xml:space="preserve">then </w:t>
      </w:r>
      <w:r w:rsidR="00B902D0" w:rsidRPr="008F502D">
        <w:rPr>
          <w:rFonts w:cs="Arial"/>
          <w:szCs w:val="24"/>
        </w:rPr>
        <w:t xml:space="preserve">be </w:t>
      </w:r>
      <w:r w:rsidR="002D521A" w:rsidRPr="008F502D">
        <w:rPr>
          <w:rFonts w:cs="Arial"/>
          <w:szCs w:val="24"/>
        </w:rPr>
        <w:t xml:space="preserve">made </w:t>
      </w:r>
      <w:r w:rsidR="00B902D0" w:rsidRPr="008F502D">
        <w:rPr>
          <w:rFonts w:cs="Arial"/>
          <w:szCs w:val="24"/>
        </w:rPr>
        <w:t>quickly available for appropriate action to be taken by regulators, industry, medical professionals and patients.</w:t>
      </w:r>
    </w:p>
    <w:p w14:paraId="39D3927A" w14:textId="1BF9F6B5"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2A95C646" w14:textId="24CB86B7" w:rsidR="00421B64" w:rsidRPr="0038165E" w:rsidRDefault="00B902D0" w:rsidP="0038165E">
      <w:pPr>
        <w:pStyle w:val="Heading2"/>
        <w:numPr>
          <w:ilvl w:val="0"/>
          <w:numId w:val="0"/>
        </w:numPr>
        <w:spacing w:before="120" w:after="120" w:line="240" w:lineRule="auto"/>
        <w:rPr>
          <w:caps w:val="0"/>
          <w:sz w:val="24"/>
        </w:rPr>
      </w:pPr>
      <w:bookmarkStart w:id="17" w:name="_Toc511039289"/>
      <w:r w:rsidRPr="0038165E">
        <w:rPr>
          <w:caps w:val="0"/>
          <w:sz w:val="24"/>
        </w:rPr>
        <w:t xml:space="preserve">Joint price negotiations – a way forward </w:t>
      </w:r>
      <w:r w:rsidR="00791D9C" w:rsidRPr="0038165E">
        <w:rPr>
          <w:caps w:val="0"/>
          <w:sz w:val="24"/>
        </w:rPr>
        <w:t>?</w:t>
      </w:r>
      <w:bookmarkEnd w:id="17"/>
    </w:p>
    <w:p w14:paraId="4EE43F6C" w14:textId="5F259BC2" w:rsidR="00421B64" w:rsidRPr="00E61435" w:rsidRDefault="00B902D0" w:rsidP="00C10133">
      <w:pPr>
        <w:spacing w:after="120" w:line="276" w:lineRule="auto"/>
        <w:jc w:val="both"/>
        <w:rPr>
          <w:rFonts w:cs="Arial"/>
          <w:szCs w:val="24"/>
        </w:rPr>
      </w:pPr>
      <w:r w:rsidRPr="008F502D">
        <w:rPr>
          <w:rFonts w:cs="Arial"/>
          <w:szCs w:val="24"/>
        </w:rPr>
        <w:t xml:space="preserve">In May 2015 EPF and EURORDIS published a joint letter calling on the EU’s pricing and reimbursement authorities to support the </w:t>
      </w:r>
      <w:r w:rsidR="000B2F63" w:rsidRPr="008F502D">
        <w:rPr>
          <w:rFonts w:cs="Arial"/>
          <w:szCs w:val="24"/>
        </w:rPr>
        <w:t xml:space="preserve">scaling-up of pilots on early dialogue and to establish </w:t>
      </w:r>
      <w:r w:rsidRPr="008F502D">
        <w:rPr>
          <w:rFonts w:cs="Arial"/>
          <w:szCs w:val="24"/>
        </w:rPr>
        <w:t xml:space="preserve">a “table for price negotiation” with a group of Member States, </w:t>
      </w:r>
      <w:r w:rsidR="000B2F63" w:rsidRPr="008F502D">
        <w:rPr>
          <w:rFonts w:cs="Arial"/>
          <w:szCs w:val="24"/>
        </w:rPr>
        <w:t>i.e., to take a collaborative European approach to negotiating the prices of medicines with pharmaceutical companies, rather than one that is fragmented.</w:t>
      </w:r>
      <w:r w:rsidR="009A7B53" w:rsidRPr="008F502D">
        <w:rPr>
          <w:rStyle w:val="EndnoteReference"/>
          <w:rFonts w:cs="Arial"/>
          <w:szCs w:val="24"/>
        </w:rPr>
        <w:endnoteReference w:id="39"/>
      </w:r>
      <w:r w:rsidR="000B2F63" w:rsidRPr="008F502D">
        <w:rPr>
          <w:rFonts w:cs="Arial"/>
          <w:szCs w:val="24"/>
        </w:rPr>
        <w:t xml:space="preserve"> </w:t>
      </w:r>
      <w:r w:rsidRPr="008F502D">
        <w:rPr>
          <w:rFonts w:cs="Arial"/>
          <w:szCs w:val="24"/>
        </w:rPr>
        <w:t xml:space="preserve">We believe this would lead to better collaboration between industry and payers and, ultimately, to better access to medicines and improved health outcomes. </w:t>
      </w:r>
      <w:r w:rsidR="007808E6" w:rsidRPr="00E61435">
        <w:rPr>
          <w:rFonts w:cs="Arial"/>
          <w:color w:val="0F243E" w:themeColor="text2" w:themeShade="80"/>
          <w:szCs w:val="24"/>
        </w:rPr>
        <w:t>Several regional clusters have emerged in the last two years, starting with Benelux, Austria and Ireland (BENELUXAI)</w:t>
      </w:r>
      <w:r w:rsidR="00BA5150" w:rsidRPr="00E61435">
        <w:rPr>
          <w:rStyle w:val="EndnoteReference"/>
          <w:rFonts w:cs="Arial"/>
          <w:color w:val="0F243E" w:themeColor="text2" w:themeShade="80"/>
          <w:szCs w:val="24"/>
        </w:rPr>
        <w:endnoteReference w:id="40"/>
      </w:r>
      <w:r w:rsidR="007808E6" w:rsidRPr="00E61435">
        <w:rPr>
          <w:rFonts w:cs="Arial"/>
          <w:color w:val="0F243E" w:themeColor="text2" w:themeShade="80"/>
          <w:szCs w:val="24"/>
        </w:rPr>
        <w:t xml:space="preserve"> and now encompassing </w:t>
      </w:r>
      <w:r w:rsidR="00BA5150" w:rsidRPr="00E61435">
        <w:rPr>
          <w:rFonts w:cs="Arial"/>
          <w:color w:val="0F243E" w:themeColor="text2" w:themeShade="80"/>
          <w:szCs w:val="24"/>
        </w:rPr>
        <w:t xml:space="preserve">the “Valletta declaration” group (Cyprus, Greece, Ireland, Italy, Malta, Portugal, Romania, Spain, Slovenia with Croatia intending to join) and a Central Eastern Europe group (Poland, Hungary, Slovakia, Lithuania with Czech Republic as observer). However, </w:t>
      </w:r>
      <w:r w:rsidR="00BA5150" w:rsidRPr="00E61435">
        <w:rPr>
          <w:rFonts w:cs="Arial"/>
          <w:color w:val="0F243E" w:themeColor="text2" w:themeShade="80"/>
          <w:szCs w:val="24"/>
        </w:rPr>
        <w:lastRenderedPageBreak/>
        <w:t>three years since the launch of the first collaboration, no joint deals on any medicines have been achieved yet.</w:t>
      </w:r>
      <w:r w:rsidR="00A36772" w:rsidRPr="00E61435">
        <w:rPr>
          <w:rStyle w:val="EndnoteReference"/>
          <w:rFonts w:cs="Arial"/>
          <w:color w:val="0F243E" w:themeColor="text2" w:themeShade="80"/>
          <w:szCs w:val="24"/>
        </w:rPr>
        <w:endnoteReference w:id="41"/>
      </w:r>
      <w:r w:rsidR="00BA5150" w:rsidRPr="00E61435">
        <w:rPr>
          <w:rFonts w:cs="Arial"/>
          <w:color w:val="0F243E" w:themeColor="text2" w:themeShade="80"/>
          <w:szCs w:val="24"/>
        </w:rPr>
        <w:t xml:space="preserve"> </w:t>
      </w:r>
    </w:p>
    <w:p w14:paraId="27B4A6DE" w14:textId="419396D7" w:rsidR="006D26B9" w:rsidRDefault="00C10133" w:rsidP="00C10133">
      <w:pPr>
        <w:spacing w:after="120" w:line="276" w:lineRule="auto"/>
        <w:jc w:val="both"/>
        <w:rPr>
          <w:rFonts w:cs="Arial"/>
          <w:szCs w:val="24"/>
        </w:rPr>
      </w:pPr>
      <w:r w:rsidRPr="00E61435">
        <w:rPr>
          <w:rFonts w:cs="Arial"/>
          <w:szCs w:val="24"/>
        </w:rPr>
        <w:t>S</w:t>
      </w:r>
      <w:r w:rsidR="00A36772" w:rsidRPr="00E61435">
        <w:rPr>
          <w:rFonts w:cs="Arial"/>
          <w:szCs w:val="24"/>
        </w:rPr>
        <w:t>uch</w:t>
      </w:r>
      <w:r w:rsidRPr="00E61435">
        <w:rPr>
          <w:rFonts w:cs="Arial"/>
          <w:szCs w:val="24"/>
        </w:rPr>
        <w:t xml:space="preserve"> </w:t>
      </w:r>
      <w:r w:rsidR="00A36772" w:rsidRPr="00E61435">
        <w:rPr>
          <w:rFonts w:cs="Arial"/>
          <w:szCs w:val="24"/>
        </w:rPr>
        <w:t xml:space="preserve">a collaborative approach would </w:t>
      </w:r>
      <w:r w:rsidR="00B902D0" w:rsidRPr="00E61435">
        <w:rPr>
          <w:rFonts w:cs="Arial"/>
          <w:szCs w:val="24"/>
        </w:rPr>
        <w:t xml:space="preserve">only </w:t>
      </w:r>
      <w:r w:rsidR="00A36772" w:rsidRPr="00E61435">
        <w:rPr>
          <w:rFonts w:cs="Arial"/>
          <w:szCs w:val="24"/>
        </w:rPr>
        <w:t xml:space="preserve">be </w:t>
      </w:r>
      <w:r w:rsidR="00B902D0" w:rsidRPr="00E61435">
        <w:rPr>
          <w:rFonts w:cs="Arial"/>
          <w:szCs w:val="24"/>
        </w:rPr>
        <w:t>possible if all parties accept that pricing discussions will be based on a value assessment</w:t>
      </w:r>
      <w:r w:rsidR="00A36772" w:rsidRPr="00E61435">
        <w:rPr>
          <w:rFonts w:cs="Arial"/>
          <w:szCs w:val="24"/>
        </w:rPr>
        <w:t>,</w:t>
      </w:r>
      <w:r w:rsidR="00B902D0" w:rsidRPr="00E61435">
        <w:rPr>
          <w:rFonts w:cs="Arial"/>
          <w:szCs w:val="24"/>
        </w:rPr>
        <w:t xml:space="preserve"> especially for products in areas with small populations and high uncertainties</w:t>
      </w:r>
      <w:r w:rsidR="00A36772" w:rsidRPr="00E61435">
        <w:rPr>
          <w:rFonts w:cs="Arial"/>
          <w:szCs w:val="24"/>
        </w:rPr>
        <w:t xml:space="preserve">, </w:t>
      </w:r>
      <w:r w:rsidR="00B902D0" w:rsidRPr="00E61435">
        <w:rPr>
          <w:rFonts w:cs="Arial"/>
          <w:szCs w:val="24"/>
        </w:rPr>
        <w:t xml:space="preserve">and will be linked to post-market evidence generation. </w:t>
      </w:r>
      <w:r w:rsidRPr="00E61435">
        <w:rPr>
          <w:rFonts w:cs="Arial"/>
          <w:szCs w:val="24"/>
        </w:rPr>
        <w:t xml:space="preserve">Prices </w:t>
      </w:r>
      <w:r w:rsidR="00B902D0" w:rsidRPr="00E61435">
        <w:rPr>
          <w:rFonts w:cs="Arial"/>
          <w:szCs w:val="24"/>
        </w:rPr>
        <w:t xml:space="preserve">would have to be flexible over time – it would need to be possible to adjust them both up and down. </w:t>
      </w:r>
      <w:r w:rsidRPr="00E61435">
        <w:rPr>
          <w:rFonts w:cs="Arial"/>
          <w:color w:val="0F243E" w:themeColor="text2" w:themeShade="80"/>
          <w:szCs w:val="24"/>
        </w:rPr>
        <w:t xml:space="preserve">However, high-value cannot be a justification for an unfeasibly high price so </w:t>
      </w:r>
      <w:r w:rsidR="006D26B9" w:rsidRPr="00E61435">
        <w:rPr>
          <w:rFonts w:cs="Arial"/>
          <w:color w:val="0F243E" w:themeColor="text2" w:themeShade="80"/>
          <w:szCs w:val="24"/>
        </w:rPr>
        <w:t>some ceiling or range agreed in advance between the various stakeholders</w:t>
      </w:r>
      <w:r w:rsidRPr="00E61435">
        <w:rPr>
          <w:rFonts w:cs="Arial"/>
          <w:color w:val="0F243E" w:themeColor="text2" w:themeShade="80"/>
          <w:szCs w:val="24"/>
        </w:rPr>
        <w:t xml:space="preserve"> </w:t>
      </w:r>
      <w:r w:rsidR="006D26B9" w:rsidRPr="00E61435">
        <w:rPr>
          <w:rFonts w:cs="Arial"/>
          <w:color w:val="0F243E" w:themeColor="text2" w:themeShade="80"/>
          <w:szCs w:val="24"/>
        </w:rPr>
        <w:t>could be introduced</w:t>
      </w:r>
      <w:r w:rsidRPr="00E61435">
        <w:rPr>
          <w:rFonts w:cs="Arial"/>
          <w:color w:val="0F243E" w:themeColor="text2" w:themeShade="80"/>
          <w:szCs w:val="24"/>
        </w:rPr>
        <w:t xml:space="preserve"> for all stakeholders – particularly importantly, patients and their treating clinicians – to understand the decision-points and their implications. It should be possible also to discontinue a therapy if it does not deliver on its promise</w:t>
      </w:r>
      <w:r w:rsidRPr="00E61435">
        <w:rPr>
          <w:rFonts w:cs="Arial"/>
          <w:szCs w:val="24"/>
        </w:rPr>
        <w:t xml:space="preserve">.  </w:t>
      </w:r>
    </w:p>
    <w:p w14:paraId="5F7A4190" w14:textId="4D18EF5D" w:rsidR="00103D7F" w:rsidRPr="00103D7F" w:rsidRDefault="00103D7F" w:rsidP="00103D7F">
      <w:pPr>
        <w:spacing w:after="240" w:line="276" w:lineRule="auto"/>
        <w:jc w:val="both"/>
        <w:rPr>
          <w:b/>
          <w:color w:val="FC0107"/>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3C399D94" w14:textId="77777777" w:rsidR="00421B64" w:rsidRPr="0038165E" w:rsidRDefault="00B902D0" w:rsidP="0038165E">
      <w:pPr>
        <w:pStyle w:val="Heading2"/>
        <w:numPr>
          <w:ilvl w:val="0"/>
          <w:numId w:val="0"/>
        </w:numPr>
        <w:spacing w:before="120" w:after="120" w:line="240" w:lineRule="auto"/>
        <w:rPr>
          <w:caps w:val="0"/>
          <w:sz w:val="24"/>
        </w:rPr>
      </w:pPr>
      <w:bookmarkStart w:id="18" w:name="_Toc511039290"/>
      <w:r w:rsidRPr="0038165E">
        <w:rPr>
          <w:caps w:val="0"/>
          <w:sz w:val="24"/>
        </w:rPr>
        <w:t>The bigger picture</w:t>
      </w:r>
      <w:bookmarkEnd w:id="18"/>
      <w:r w:rsidRPr="0038165E">
        <w:rPr>
          <w:caps w:val="0"/>
          <w:sz w:val="24"/>
        </w:rPr>
        <w:t xml:space="preserve"> </w:t>
      </w:r>
    </w:p>
    <w:p w14:paraId="095F0E23" w14:textId="30F9AC73" w:rsidR="00421B64" w:rsidRPr="008F502D" w:rsidRDefault="00B902D0">
      <w:pPr>
        <w:spacing w:after="120" w:line="276" w:lineRule="auto"/>
        <w:jc w:val="both"/>
        <w:rPr>
          <w:rFonts w:cs="Arial"/>
          <w:szCs w:val="24"/>
        </w:rPr>
      </w:pPr>
      <w:r w:rsidRPr="008F502D">
        <w:rPr>
          <w:rFonts w:cs="Arial"/>
          <w:szCs w:val="24"/>
        </w:rPr>
        <w:t>Research and development in pharmaceuticals should be geared towards unmet needs of patients and of public health, including those in the updated WHO 2014 Report on Priority Medicines.</w:t>
      </w:r>
      <w:r w:rsidR="00A93E7A">
        <w:rPr>
          <w:rFonts w:cs="Arial"/>
          <w:szCs w:val="24"/>
        </w:rPr>
        <w:t xml:space="preserve"> EPF </w:t>
      </w:r>
      <w:r w:rsidRPr="008F502D">
        <w:rPr>
          <w:rFonts w:cs="Arial"/>
          <w:szCs w:val="24"/>
        </w:rPr>
        <w:t>believe</w:t>
      </w:r>
      <w:r w:rsidR="00A93E7A">
        <w:rPr>
          <w:rFonts w:cs="Arial"/>
          <w:szCs w:val="24"/>
        </w:rPr>
        <w:t>s</w:t>
      </w:r>
      <w:r w:rsidRPr="008F502D">
        <w:rPr>
          <w:rFonts w:cs="Arial"/>
          <w:szCs w:val="24"/>
        </w:rPr>
        <w:t xml:space="preserve"> more open debate is needed around investment in health, valuable innovation, as well as societal values and preferences</w:t>
      </w:r>
      <w:r w:rsidR="004808AF" w:rsidRPr="008F502D">
        <w:rPr>
          <w:rFonts w:cs="Arial"/>
          <w:szCs w:val="24"/>
        </w:rPr>
        <w:t xml:space="preserve"> and what constitutes a “fair” return on investment; such a debate implies the need for more transparency about the real costs of medicines’ research and development. </w:t>
      </w:r>
      <w:r w:rsidRPr="008F502D">
        <w:rPr>
          <w:rFonts w:cs="Arial"/>
          <w:szCs w:val="24"/>
        </w:rPr>
        <w:t>Patients and the public</w:t>
      </w:r>
      <w:r w:rsidR="0004516C" w:rsidRPr="008F502D">
        <w:rPr>
          <w:rFonts w:cs="Arial"/>
          <w:szCs w:val="24"/>
        </w:rPr>
        <w:t>/citizens</w:t>
      </w:r>
      <w:r w:rsidRPr="008F502D">
        <w:rPr>
          <w:rFonts w:cs="Arial"/>
          <w:szCs w:val="24"/>
        </w:rPr>
        <w:t xml:space="preserve"> play different and complementary roles in these debates: whilst a broad discussion is needed around societal values, priorities and public health needs, when it comes to identifying unmet needs at individual patient or disease-level, it is vital to involve patients and their organisations.  </w:t>
      </w:r>
    </w:p>
    <w:p w14:paraId="1EAE0040" w14:textId="31F5F166" w:rsidR="00421B64" w:rsidRPr="008F502D" w:rsidRDefault="0004516C">
      <w:pPr>
        <w:spacing w:after="120" w:line="276" w:lineRule="auto"/>
        <w:jc w:val="both"/>
        <w:rPr>
          <w:rFonts w:cs="Arial"/>
          <w:szCs w:val="24"/>
        </w:rPr>
      </w:pPr>
      <w:r w:rsidRPr="008F502D">
        <w:rPr>
          <w:rFonts w:cs="Arial"/>
          <w:szCs w:val="24"/>
        </w:rPr>
        <w:t xml:space="preserve">Currently </w:t>
      </w:r>
      <w:r w:rsidR="00B902D0" w:rsidRPr="008F502D">
        <w:rPr>
          <w:rFonts w:cs="Arial"/>
          <w:szCs w:val="24"/>
        </w:rPr>
        <w:t xml:space="preserve">commercial companies, whose priorities are driven primarily by shareholder value, </w:t>
      </w:r>
      <w:r w:rsidRPr="008F502D">
        <w:rPr>
          <w:rFonts w:cs="Arial"/>
          <w:szCs w:val="24"/>
        </w:rPr>
        <w:t xml:space="preserve"> are </w:t>
      </w:r>
      <w:r w:rsidR="00B902D0" w:rsidRPr="008F502D">
        <w:rPr>
          <w:rFonts w:cs="Arial"/>
          <w:szCs w:val="24"/>
        </w:rPr>
        <w:t>focusing on what is commercially attractive rather than public health needs per se. However, the commercially-driven model is not providing needed innovation for many critical health needs, in particular poverty-related and neglected tropical diseases as well as antibiotics.</w:t>
      </w:r>
      <w:r w:rsidR="00B902D0" w:rsidRPr="008F502D">
        <w:rPr>
          <w:rStyle w:val="EndnoteReference"/>
          <w:rFonts w:cs="Arial"/>
          <w:szCs w:val="24"/>
        </w:rPr>
        <w:endnoteReference w:id="42"/>
      </w:r>
      <w:r w:rsidR="00B902D0" w:rsidRPr="008F502D">
        <w:rPr>
          <w:rFonts w:cs="Arial"/>
          <w:szCs w:val="24"/>
        </w:rPr>
        <w:t xml:space="preserve"> A “correction” of the research priorities is needed, for example through more publicly funded research (including basic research, comparative research on existing treatments and treatment combinations, and repurposing). This investment should be fully reflected in the price of the final medicine.</w:t>
      </w:r>
    </w:p>
    <w:p w14:paraId="144C5F2F" w14:textId="3E480CA2" w:rsidR="00421B64" w:rsidRPr="008F502D" w:rsidRDefault="00B902D0" w:rsidP="00A93E7A">
      <w:pPr>
        <w:spacing w:after="120" w:line="276" w:lineRule="auto"/>
        <w:jc w:val="both"/>
        <w:rPr>
          <w:rFonts w:cs="Arial"/>
          <w:szCs w:val="24"/>
        </w:rPr>
      </w:pPr>
      <w:r w:rsidRPr="008F502D">
        <w:rPr>
          <w:rFonts w:cs="Arial"/>
          <w:szCs w:val="24"/>
        </w:rPr>
        <w:t>EPF believes there is a role for developing genuine Public Private Partnerships in addressing unmet needs that can foster innovation.</w:t>
      </w:r>
      <w:r w:rsidRPr="008F502D">
        <w:rPr>
          <w:rStyle w:val="EndnoteReference"/>
          <w:rFonts w:cs="Arial"/>
          <w:szCs w:val="24"/>
        </w:rPr>
        <w:endnoteReference w:id="43"/>
      </w:r>
      <w:r w:rsidRPr="008F502D">
        <w:rPr>
          <w:rFonts w:cs="Arial"/>
          <w:szCs w:val="24"/>
        </w:rPr>
        <w:t xml:space="preserve"> More broadly, EPF welcomes emerging initiatives looking at alternative funding models for pharmaceutical R&amp;D, such as patent pools and other “de-linking” initiatives, which may be particularly relevant when it comes to addressing global health needs and health equity.</w:t>
      </w:r>
      <w:r w:rsidRPr="008F502D">
        <w:rPr>
          <w:rStyle w:val="EndnoteReference"/>
          <w:rFonts w:cs="Arial"/>
          <w:szCs w:val="24"/>
        </w:rPr>
        <w:endnoteReference w:id="44"/>
      </w:r>
      <w:r w:rsidR="0015113A" w:rsidRPr="008F502D">
        <w:rPr>
          <w:rFonts w:cs="Arial"/>
          <w:szCs w:val="24"/>
        </w:rPr>
        <w:t xml:space="preserve"> </w:t>
      </w:r>
    </w:p>
    <w:p w14:paraId="772FE851" w14:textId="5BE1AB4E" w:rsidR="00386ED6" w:rsidRDefault="00B902D0" w:rsidP="00A93E7A">
      <w:pPr>
        <w:spacing w:after="120" w:line="276" w:lineRule="auto"/>
        <w:jc w:val="both"/>
        <w:rPr>
          <w:rFonts w:cs="Arial"/>
          <w:szCs w:val="24"/>
        </w:rPr>
      </w:pPr>
      <w:r w:rsidRPr="008F502D">
        <w:rPr>
          <w:rFonts w:cs="Arial"/>
          <w:szCs w:val="24"/>
        </w:rPr>
        <w:t>In addition, other issues that need to be addressed to improve cost-effectiveness of care and outcomes for patients and society</w:t>
      </w:r>
      <w:r w:rsidR="00C82F13" w:rsidRPr="008F502D">
        <w:rPr>
          <w:rFonts w:cs="Arial"/>
          <w:szCs w:val="24"/>
        </w:rPr>
        <w:t xml:space="preserve"> include</w:t>
      </w:r>
      <w:r w:rsidRPr="008F502D">
        <w:rPr>
          <w:rFonts w:cs="Arial"/>
          <w:szCs w:val="24"/>
        </w:rPr>
        <w:t>: reducing waste in health systems</w:t>
      </w:r>
      <w:r w:rsidR="00C82F13" w:rsidRPr="008F502D">
        <w:rPr>
          <w:rFonts w:cs="Arial"/>
          <w:szCs w:val="24"/>
        </w:rPr>
        <w:t>;</w:t>
      </w:r>
      <w:r w:rsidRPr="008F502D">
        <w:rPr>
          <w:rFonts w:cs="Arial"/>
          <w:szCs w:val="24"/>
        </w:rPr>
        <w:t xml:space="preserve"> </w:t>
      </w:r>
      <w:r w:rsidR="00A42C23" w:rsidRPr="008F502D">
        <w:rPr>
          <w:rFonts w:cs="Arial"/>
          <w:szCs w:val="24"/>
        </w:rPr>
        <w:t>tackling over-treatment and the use o</w:t>
      </w:r>
      <w:r w:rsidRPr="008F502D">
        <w:rPr>
          <w:rFonts w:cs="Arial"/>
          <w:szCs w:val="24"/>
        </w:rPr>
        <w:t>f inappropriate therapies or services</w:t>
      </w:r>
      <w:r w:rsidR="00A42C23" w:rsidRPr="008F502D">
        <w:rPr>
          <w:rFonts w:cs="Arial"/>
          <w:szCs w:val="24"/>
        </w:rPr>
        <w:t>, as well as under-treatment</w:t>
      </w:r>
      <w:r w:rsidRPr="008F502D">
        <w:rPr>
          <w:rFonts w:cs="Arial"/>
          <w:szCs w:val="24"/>
        </w:rPr>
        <w:t>; improving patient adherence;</w:t>
      </w:r>
      <w:r w:rsidRPr="008F502D">
        <w:rPr>
          <w:rStyle w:val="EndnoteReference"/>
          <w:rFonts w:cs="Arial"/>
          <w:szCs w:val="24"/>
        </w:rPr>
        <w:endnoteReference w:id="45"/>
      </w:r>
      <w:r w:rsidRPr="008F502D">
        <w:rPr>
          <w:rFonts w:cs="Arial"/>
          <w:szCs w:val="24"/>
        </w:rPr>
        <w:t xml:space="preserve"> fighting corruption, which is an important access barrier in some </w:t>
      </w:r>
      <w:r w:rsidR="003D686C" w:rsidRPr="008F502D">
        <w:rPr>
          <w:rFonts w:cs="Arial"/>
          <w:szCs w:val="24"/>
        </w:rPr>
        <w:t>M</w:t>
      </w:r>
      <w:r w:rsidRPr="008F502D">
        <w:rPr>
          <w:rFonts w:cs="Arial"/>
          <w:szCs w:val="24"/>
        </w:rPr>
        <w:t xml:space="preserve">ember </w:t>
      </w:r>
      <w:r w:rsidR="003D686C" w:rsidRPr="008F502D">
        <w:rPr>
          <w:rFonts w:cs="Arial"/>
          <w:szCs w:val="24"/>
        </w:rPr>
        <w:t>S</w:t>
      </w:r>
      <w:r w:rsidRPr="008F502D">
        <w:rPr>
          <w:rFonts w:cs="Arial"/>
          <w:szCs w:val="24"/>
        </w:rPr>
        <w:t>tates; and counteracting and preventing unethical practices by some companies, which should be monitored and strictly sanctioned.</w:t>
      </w:r>
      <w:r w:rsidR="009C2F3B" w:rsidRPr="008F502D">
        <w:rPr>
          <w:rFonts w:cs="Arial"/>
          <w:szCs w:val="24"/>
        </w:rPr>
        <w:t xml:space="preserve"> </w:t>
      </w:r>
    </w:p>
    <w:p w14:paraId="50A39608" w14:textId="04184020" w:rsidR="00103D7F" w:rsidRPr="00103D7F" w:rsidRDefault="00103D7F" w:rsidP="00103D7F">
      <w:pPr>
        <w:spacing w:after="240" w:line="276" w:lineRule="auto"/>
        <w:jc w:val="both"/>
        <w:rPr>
          <w:b/>
          <w:color w:val="FC0107"/>
        </w:rPr>
      </w:pPr>
      <w:r w:rsidRPr="00103D7F">
        <w:rPr>
          <w:b/>
          <w:color w:val="FC0107"/>
        </w:rPr>
        <w:lastRenderedPageBreak/>
        <w:t xml:space="preserve">Questions to members: Do you agree with this section? If not, please explain why and provide alternative. Please feel free to provide additional remarks, case examples, references, etc. </w:t>
      </w:r>
    </w:p>
    <w:p w14:paraId="28952B48" w14:textId="3F4E460B" w:rsidR="00A93E7A" w:rsidRPr="00386ED6" w:rsidRDefault="00A93E7A" w:rsidP="00A93E7A">
      <w:pPr>
        <w:pStyle w:val="Heading2"/>
        <w:numPr>
          <w:ilvl w:val="1"/>
          <w:numId w:val="0"/>
        </w:numPr>
        <w:spacing w:before="120" w:after="120" w:line="240" w:lineRule="auto"/>
        <w:rPr>
          <w:caps w:val="0"/>
          <w:color w:val="365F90"/>
          <w:sz w:val="32"/>
          <w:szCs w:val="30"/>
        </w:rPr>
      </w:pPr>
      <w:bookmarkStart w:id="19" w:name="_Toc511039291"/>
      <w:r>
        <w:rPr>
          <w:caps w:val="0"/>
          <w:color w:val="365F90"/>
          <w:sz w:val="32"/>
          <w:szCs w:val="30"/>
        </w:rPr>
        <w:t>Call on governments and industry to ensure access</w:t>
      </w:r>
      <w:bookmarkEnd w:id="19"/>
      <w:r w:rsidR="00902994">
        <w:rPr>
          <w:rStyle w:val="FootnoteReference"/>
          <w:caps w:val="0"/>
          <w:color w:val="365F90"/>
          <w:sz w:val="32"/>
          <w:szCs w:val="30"/>
        </w:rPr>
        <w:footnoteReference w:id="18"/>
      </w:r>
      <w:r>
        <w:rPr>
          <w:caps w:val="0"/>
          <w:color w:val="365F90"/>
          <w:sz w:val="32"/>
          <w:szCs w:val="30"/>
        </w:rPr>
        <w:t xml:space="preserve"> </w:t>
      </w:r>
    </w:p>
    <w:p w14:paraId="466FC40D" w14:textId="1718F513" w:rsidR="007A017A" w:rsidRPr="008F502D" w:rsidRDefault="0050294E">
      <w:pPr>
        <w:spacing w:after="120" w:line="276" w:lineRule="auto"/>
        <w:jc w:val="both"/>
        <w:rPr>
          <w:rFonts w:cs="Arial"/>
          <w:szCs w:val="24"/>
        </w:rPr>
      </w:pPr>
      <w:r w:rsidRPr="00A93E7A">
        <w:rPr>
          <w:rFonts w:cs="Arial"/>
          <w:szCs w:val="24"/>
        </w:rPr>
        <w:t xml:space="preserve">At the end of the day, </w:t>
      </w:r>
      <w:r w:rsidRPr="00A93E7A">
        <w:rPr>
          <w:rFonts w:cs="Arial"/>
          <w:b/>
          <w:szCs w:val="24"/>
        </w:rPr>
        <w:t>investment in health is a political choice</w:t>
      </w:r>
      <w:r w:rsidRPr="00A93E7A">
        <w:rPr>
          <w:rFonts w:cs="Arial"/>
          <w:szCs w:val="24"/>
        </w:rPr>
        <w:t>. Ensuring universal access to new,</w:t>
      </w:r>
      <w:r w:rsidRPr="008F502D">
        <w:rPr>
          <w:rFonts w:cs="Arial"/>
          <w:szCs w:val="24"/>
        </w:rPr>
        <w:t xml:space="preserve"> innovative medicines for all those who need it is a political choice.</w:t>
      </w:r>
      <w:r w:rsidR="00A93E7A">
        <w:rPr>
          <w:rFonts w:cs="Arial"/>
          <w:szCs w:val="24"/>
        </w:rPr>
        <w:t xml:space="preserve"> EPF urges </w:t>
      </w:r>
      <w:r w:rsidR="007E07F4" w:rsidRPr="008F502D">
        <w:rPr>
          <w:rFonts w:cs="Arial"/>
          <w:szCs w:val="24"/>
        </w:rPr>
        <w:t xml:space="preserve">decision-makers to reject the “zero-sum-game” approach, whereby health budgets are regarded as fixed and immutable, and take positive action to realise an inclusive society that values health and makes it a political priority. </w:t>
      </w:r>
    </w:p>
    <w:p w14:paraId="4374AD54" w14:textId="2DF51123" w:rsidR="0050294E" w:rsidRPr="008F502D" w:rsidRDefault="007E07F4">
      <w:pPr>
        <w:spacing w:after="120" w:line="276" w:lineRule="auto"/>
        <w:jc w:val="both"/>
        <w:rPr>
          <w:rFonts w:cs="Arial"/>
          <w:szCs w:val="24"/>
        </w:rPr>
      </w:pPr>
      <w:r w:rsidRPr="008F502D">
        <w:rPr>
          <w:rFonts w:cs="Arial"/>
          <w:szCs w:val="24"/>
        </w:rPr>
        <w:t xml:space="preserve">We are </w:t>
      </w:r>
      <w:r w:rsidR="0050294E" w:rsidRPr="008F502D">
        <w:rPr>
          <w:rFonts w:cs="Arial"/>
          <w:szCs w:val="24"/>
        </w:rPr>
        <w:t xml:space="preserve">convinced that investment in valuable innovation will result in a virtuous circle, whereby better health outcomes will eventually contribute to balancing the short-term financial impact of the investment, and possibly even generate greater efficiencies and savings in the </w:t>
      </w:r>
      <w:r w:rsidRPr="008F502D">
        <w:rPr>
          <w:rFonts w:cs="Arial"/>
          <w:szCs w:val="24"/>
        </w:rPr>
        <w:t xml:space="preserve">entire economy </w:t>
      </w:r>
      <w:r w:rsidR="0050294E" w:rsidRPr="008F502D">
        <w:rPr>
          <w:rFonts w:cs="Arial"/>
          <w:szCs w:val="24"/>
        </w:rPr>
        <w:t>in the long term. We</w:t>
      </w:r>
      <w:r w:rsidRPr="008F502D">
        <w:rPr>
          <w:rFonts w:cs="Arial"/>
          <w:szCs w:val="24"/>
        </w:rPr>
        <w:t xml:space="preserve"> therefore</w:t>
      </w:r>
      <w:r w:rsidR="0050294E" w:rsidRPr="008F502D">
        <w:rPr>
          <w:rFonts w:cs="Arial"/>
          <w:szCs w:val="24"/>
        </w:rPr>
        <w:t xml:space="preserve"> call on European decision-makers and stakeholders to put</w:t>
      </w:r>
      <w:r w:rsidR="00B81B13" w:rsidRPr="008F502D">
        <w:rPr>
          <w:rFonts w:cs="Arial"/>
          <w:szCs w:val="24"/>
        </w:rPr>
        <w:t xml:space="preserve"> patients’ health first and ensure EPF’s</w:t>
      </w:r>
      <w:r w:rsidR="0050294E" w:rsidRPr="008F502D">
        <w:rPr>
          <w:rFonts w:cs="Arial"/>
          <w:szCs w:val="24"/>
        </w:rPr>
        <w:t xml:space="preserve"> core principles</w:t>
      </w:r>
      <w:r w:rsidR="00B81B13" w:rsidRPr="008F502D">
        <w:rPr>
          <w:rFonts w:cs="Arial"/>
          <w:szCs w:val="24"/>
        </w:rPr>
        <w:t xml:space="preserve"> on value and pricing </w:t>
      </w:r>
      <w:r w:rsidRPr="008F502D">
        <w:rPr>
          <w:rFonts w:cs="Arial"/>
          <w:szCs w:val="24"/>
        </w:rPr>
        <w:t xml:space="preserve">of innovative medicines </w:t>
      </w:r>
      <w:r w:rsidR="00B81B13" w:rsidRPr="008F502D">
        <w:rPr>
          <w:rFonts w:cs="Arial"/>
          <w:szCs w:val="24"/>
        </w:rPr>
        <w:t>are applied to the fullest extent possible</w:t>
      </w:r>
      <w:r w:rsidR="0050294E" w:rsidRPr="008F502D">
        <w:rPr>
          <w:rFonts w:cs="Arial"/>
          <w:szCs w:val="24"/>
        </w:rPr>
        <w:t>.</w:t>
      </w:r>
      <w:r w:rsidR="00B81B13" w:rsidRPr="008F502D">
        <w:rPr>
          <w:rFonts w:cs="Arial"/>
          <w:szCs w:val="24"/>
        </w:rPr>
        <w:t xml:space="preserve"> EPF and our members will continue to play a constructive role in helping to achieve this.</w:t>
      </w:r>
    </w:p>
    <w:p w14:paraId="73AE03E4" w14:textId="77777777" w:rsidR="00A93E7A" w:rsidRPr="00902994" w:rsidRDefault="00A93E7A" w:rsidP="00A93E7A">
      <w:pPr>
        <w:spacing w:after="120" w:line="276" w:lineRule="auto"/>
        <w:jc w:val="both"/>
        <w:rPr>
          <w:rFonts w:cs="Arial"/>
          <w:color w:val="0F243E" w:themeColor="text2" w:themeShade="80"/>
          <w:szCs w:val="24"/>
        </w:rPr>
      </w:pPr>
      <w:r w:rsidRPr="00902994">
        <w:rPr>
          <w:rFonts w:cs="Arial"/>
          <w:color w:val="0F243E" w:themeColor="text2" w:themeShade="80"/>
          <w:szCs w:val="24"/>
        </w:rPr>
        <w:t>P</w:t>
      </w:r>
      <w:r w:rsidR="00386ED6" w:rsidRPr="00902994">
        <w:rPr>
          <w:rFonts w:cs="Arial"/>
          <w:color w:val="0F243E" w:themeColor="text2" w:themeShade="80"/>
          <w:szCs w:val="24"/>
        </w:rPr>
        <w:t>atient</w:t>
      </w:r>
      <w:r w:rsidRPr="00902994">
        <w:rPr>
          <w:rFonts w:cs="Arial"/>
          <w:color w:val="0F243E" w:themeColor="text2" w:themeShade="80"/>
          <w:szCs w:val="24"/>
        </w:rPr>
        <w:t xml:space="preserve"> </w:t>
      </w:r>
      <w:r w:rsidR="00386ED6" w:rsidRPr="00902994">
        <w:rPr>
          <w:rFonts w:cs="Arial"/>
          <w:color w:val="0F243E" w:themeColor="text2" w:themeShade="80"/>
          <w:szCs w:val="24"/>
        </w:rPr>
        <w:t xml:space="preserve">organisations often work with </w:t>
      </w:r>
      <w:r w:rsidR="00386ED6" w:rsidRPr="00902994">
        <w:rPr>
          <w:rFonts w:cs="Arial"/>
          <w:b/>
          <w:color w:val="0F243E" w:themeColor="text2" w:themeShade="80"/>
          <w:szCs w:val="24"/>
        </w:rPr>
        <w:t>pharmaceutical companies</w:t>
      </w:r>
      <w:r w:rsidR="00386ED6" w:rsidRPr="00902994">
        <w:rPr>
          <w:rFonts w:cs="Arial"/>
          <w:color w:val="0F243E" w:themeColor="text2" w:themeShade="80"/>
          <w:szCs w:val="24"/>
        </w:rPr>
        <w:t xml:space="preserve"> in therapeutic research and development. This is a necessary partnership, as meaningful incorporation of patients’ perspectives in R&amp;D is seen to contribute to the development of new therapies that add more value for patients. However, certain preconditions must apply in order to make this collaboration fruitful</w:t>
      </w:r>
      <w:r w:rsidRPr="00902994">
        <w:rPr>
          <w:rFonts w:cs="Arial"/>
          <w:color w:val="0F243E" w:themeColor="text2" w:themeShade="80"/>
          <w:szCs w:val="24"/>
        </w:rPr>
        <w:t xml:space="preserve">. EPF has worked, also through the EUPATI project, to develop various guidelines and tools for ethical collaboration. We call on pharmaceutical companies to respect ethical guidance when involving patients in their research activities. Patient involvement must be meaningful, not tokenistic. </w:t>
      </w:r>
    </w:p>
    <w:p w14:paraId="008BFBF8" w14:textId="29182F5B" w:rsidR="00A93E7A" w:rsidRPr="00902994" w:rsidRDefault="00A93E7A" w:rsidP="00A93E7A">
      <w:pPr>
        <w:spacing w:after="120" w:line="276" w:lineRule="auto"/>
        <w:jc w:val="both"/>
        <w:rPr>
          <w:rFonts w:cs="Calibri"/>
          <w:b/>
          <w:color w:val="0F243E" w:themeColor="text2" w:themeShade="80"/>
        </w:rPr>
      </w:pPr>
      <w:r w:rsidRPr="00902994">
        <w:rPr>
          <w:rFonts w:cs="Arial"/>
          <w:color w:val="0F243E" w:themeColor="text2" w:themeShade="80"/>
          <w:szCs w:val="24"/>
        </w:rPr>
        <w:t xml:space="preserve">Companies should also commit </w:t>
      </w:r>
      <w:r w:rsidR="00386ED6" w:rsidRPr="00902994">
        <w:rPr>
          <w:rFonts w:cs="Arial"/>
          <w:color w:val="0F243E" w:themeColor="text2" w:themeShade="80"/>
          <w:szCs w:val="24"/>
        </w:rPr>
        <w:t xml:space="preserve">to ethical practice </w:t>
      </w:r>
      <w:r w:rsidR="00386ED6" w:rsidRPr="00902994">
        <w:rPr>
          <w:rFonts w:cs="Arial"/>
          <w:i/>
          <w:color w:val="0F243E" w:themeColor="text2" w:themeShade="80"/>
          <w:szCs w:val="24"/>
        </w:rPr>
        <w:t>outside the field of R&amp;D</w:t>
      </w:r>
      <w:r w:rsidR="00386ED6" w:rsidRPr="00902994">
        <w:rPr>
          <w:rFonts w:cs="Arial"/>
          <w:color w:val="0F243E" w:themeColor="text2" w:themeShade="80"/>
          <w:szCs w:val="24"/>
        </w:rPr>
        <w:t xml:space="preserve">, including transparency and </w:t>
      </w:r>
      <w:r w:rsidRPr="00902994">
        <w:rPr>
          <w:rFonts w:cs="Arial"/>
          <w:color w:val="0F243E" w:themeColor="text2" w:themeShade="80"/>
          <w:szCs w:val="24"/>
        </w:rPr>
        <w:t xml:space="preserve">good commercial practices. </w:t>
      </w:r>
      <w:r w:rsidRPr="00902994">
        <w:rPr>
          <w:rFonts w:cs="Calibri"/>
          <w:color w:val="0F243E" w:themeColor="text2" w:themeShade="80"/>
        </w:rPr>
        <w:t>Practices such as “ever-greening” of patent protection and deals to prevent or delay the entry of generic products onto the market, and “price-gouging” – whereby certain companies acquired old, neglected drugs and turned them into costly ‘new’ drugs</w:t>
      </w:r>
      <w:r w:rsidRPr="00902994">
        <w:rPr>
          <w:rStyle w:val="EndnoteReference"/>
          <w:rFonts w:cs="Arial"/>
          <w:color w:val="0F243E" w:themeColor="text2" w:themeShade="80"/>
          <w:szCs w:val="24"/>
        </w:rPr>
        <w:endnoteReference w:id="46"/>
      </w:r>
      <w:r w:rsidRPr="00902994">
        <w:rPr>
          <w:rFonts w:cs="Calibri"/>
          <w:color w:val="0F243E" w:themeColor="text2" w:themeShade="80"/>
        </w:rPr>
        <w:t xml:space="preserve"> – draw attention to failures and gaps in the current system. </w:t>
      </w:r>
    </w:p>
    <w:p w14:paraId="65F13FFC" w14:textId="10159795" w:rsidR="00A93E7A" w:rsidRDefault="00A93E7A" w:rsidP="00A93E7A">
      <w:pPr>
        <w:spacing w:after="120" w:line="276" w:lineRule="auto"/>
        <w:jc w:val="both"/>
        <w:rPr>
          <w:color w:val="0F243E" w:themeColor="text2" w:themeShade="80"/>
          <w:sz w:val="20"/>
        </w:rPr>
      </w:pPr>
      <w:r w:rsidRPr="00902994">
        <w:rPr>
          <w:rFonts w:cs="Arial"/>
          <w:color w:val="0F243E" w:themeColor="text2" w:themeShade="80"/>
          <w:szCs w:val="24"/>
        </w:rPr>
        <w:t xml:space="preserve">If patients partner with industry in order to develop new and better treatments, but at the end of the day the same patients cannot have access to these treatments because they are too expensive for the public health systems, we consider this a betrayal of the partnership principle. Industry should </w:t>
      </w:r>
      <w:r w:rsidR="00386ED6" w:rsidRPr="00902994">
        <w:rPr>
          <w:rFonts w:cs="Arial"/>
          <w:color w:val="0F243E" w:themeColor="text2" w:themeShade="80"/>
          <w:szCs w:val="24"/>
        </w:rPr>
        <w:t xml:space="preserve">ensure the end products </w:t>
      </w:r>
      <w:r w:rsidRPr="00902994">
        <w:rPr>
          <w:rFonts w:cs="Arial"/>
          <w:color w:val="0F243E" w:themeColor="text2" w:themeShade="80"/>
          <w:szCs w:val="24"/>
        </w:rPr>
        <w:t xml:space="preserve">of its R&amp;D provide added value for patients and that they are priced so they are </w:t>
      </w:r>
      <w:r w:rsidR="00386ED6" w:rsidRPr="00902994">
        <w:rPr>
          <w:rFonts w:cs="Arial"/>
          <w:color w:val="0F243E" w:themeColor="text2" w:themeShade="80"/>
          <w:szCs w:val="24"/>
        </w:rPr>
        <w:t xml:space="preserve">affordable to patients </w:t>
      </w:r>
      <w:r w:rsidRPr="00902994">
        <w:rPr>
          <w:rFonts w:cs="Arial"/>
          <w:color w:val="0F243E" w:themeColor="text2" w:themeShade="80"/>
          <w:szCs w:val="24"/>
        </w:rPr>
        <w:t xml:space="preserve">and </w:t>
      </w:r>
      <w:r w:rsidR="00386ED6" w:rsidRPr="00902994">
        <w:rPr>
          <w:rFonts w:cs="Arial"/>
          <w:color w:val="0F243E" w:themeColor="text2" w:themeShade="80"/>
          <w:szCs w:val="24"/>
        </w:rPr>
        <w:t>to health systems</w:t>
      </w:r>
      <w:r w:rsidRPr="00902994">
        <w:rPr>
          <w:rFonts w:cs="Arial"/>
          <w:color w:val="0F243E" w:themeColor="text2" w:themeShade="80"/>
          <w:szCs w:val="24"/>
        </w:rPr>
        <w:t xml:space="preserve"> whilst providing acceptable returns on investment</w:t>
      </w:r>
      <w:r w:rsidR="00902994">
        <w:rPr>
          <w:rFonts w:cs="Arial"/>
          <w:color w:val="0F243E" w:themeColor="text2" w:themeShade="80"/>
          <w:szCs w:val="24"/>
        </w:rPr>
        <w:t xml:space="preserve">. </w:t>
      </w:r>
      <w:r w:rsidR="00902994">
        <w:rPr>
          <w:rFonts w:cs="Calibri"/>
          <w:color w:val="0F243E" w:themeColor="text2" w:themeShade="80"/>
        </w:rPr>
        <w:t xml:space="preserve"> </w:t>
      </w:r>
      <w:r w:rsidR="00902994" w:rsidRPr="00902994">
        <w:rPr>
          <w:rFonts w:cs="Calibri"/>
          <w:color w:val="0F243E" w:themeColor="text2" w:themeShade="80"/>
        </w:rPr>
        <w:t>Prices of medicines cannot simply be based on strategies to maximise profit without ensuring access to all who need them.</w:t>
      </w:r>
      <w:r w:rsidR="00386ED6" w:rsidRPr="00902994">
        <w:rPr>
          <w:rFonts w:cs="Arial"/>
          <w:color w:val="0F243E" w:themeColor="text2" w:themeShade="80"/>
          <w:szCs w:val="24"/>
        </w:rPr>
        <w:t xml:space="preserve"> </w:t>
      </w:r>
      <w:r w:rsidRPr="00902994">
        <w:rPr>
          <w:rFonts w:cs="Calibri"/>
          <w:color w:val="0F243E" w:themeColor="text2" w:themeShade="80"/>
        </w:rPr>
        <w:t>The pharmaceutical industry must “walk the talk” as a responsible health stakeholder.</w:t>
      </w:r>
      <w:r w:rsidRPr="00902994">
        <w:rPr>
          <w:color w:val="0F243E" w:themeColor="text2" w:themeShade="80"/>
          <w:sz w:val="20"/>
        </w:rPr>
        <w:t xml:space="preserve"> </w:t>
      </w:r>
    </w:p>
    <w:p w14:paraId="4A2E6AB1" w14:textId="174DF54D" w:rsidR="00A93E7A" w:rsidRPr="00103D7F" w:rsidRDefault="00103D7F" w:rsidP="00103D7F">
      <w:pPr>
        <w:spacing w:after="240" w:line="276" w:lineRule="auto"/>
        <w:jc w:val="both"/>
        <w:rPr>
          <w:rStyle w:val="Heading1Char"/>
          <w:rFonts w:ascii="Calibri" w:hAnsi="Calibri"/>
          <w:bCs w:val="0"/>
          <w:color w:val="FC0107"/>
          <w:sz w:val="22"/>
          <w:szCs w:val="22"/>
          <w:shd w:val="clear" w:color="auto" w:fill="auto"/>
        </w:rPr>
      </w:pPr>
      <w:r w:rsidRPr="00103D7F">
        <w:rPr>
          <w:b/>
          <w:color w:val="FC0107"/>
        </w:rPr>
        <w:t xml:space="preserve">Questions to members: Do you agree with this section? If not, please explain why and provide alternative. Please feel free to provide additional remarks, case examples, references, etc. </w:t>
      </w:r>
    </w:p>
    <w:p w14:paraId="29BB8897" w14:textId="0AD0576E" w:rsidR="00421B64" w:rsidRDefault="00B902D0" w:rsidP="0059776B">
      <w:pPr>
        <w:spacing w:after="120" w:line="240" w:lineRule="auto"/>
        <w:jc w:val="center"/>
        <w:rPr>
          <w:rStyle w:val="Heading1Char"/>
          <w:sz w:val="44"/>
          <w:shd w:val="clear" w:color="auto" w:fill="auto"/>
        </w:rPr>
      </w:pPr>
      <w:bookmarkStart w:id="20" w:name="_Toc511039292"/>
      <w:r w:rsidRPr="00E832C3">
        <w:rPr>
          <w:rStyle w:val="Heading1Char"/>
          <w:sz w:val="44"/>
          <w:shd w:val="clear" w:color="auto" w:fill="auto"/>
        </w:rPr>
        <w:lastRenderedPageBreak/>
        <w:t xml:space="preserve">Core Principles </w:t>
      </w:r>
      <w:r w:rsidR="004A4BFF">
        <w:rPr>
          <w:rStyle w:val="Heading1Char"/>
          <w:sz w:val="44"/>
          <w:shd w:val="clear" w:color="auto" w:fill="auto"/>
        </w:rPr>
        <w:t>and Recommendations</w:t>
      </w:r>
      <w:bookmarkEnd w:id="20"/>
      <w:r w:rsidR="004A4BFF">
        <w:rPr>
          <w:rStyle w:val="Heading1Char"/>
          <w:sz w:val="44"/>
          <w:shd w:val="clear" w:color="auto" w:fill="auto"/>
        </w:rPr>
        <w:t xml:space="preserve"> </w:t>
      </w:r>
    </w:p>
    <w:p w14:paraId="034CE864" w14:textId="487180C9" w:rsidR="008F502D" w:rsidRPr="00902994" w:rsidRDefault="00902994" w:rsidP="001A2BC9">
      <w:pPr>
        <w:spacing w:after="120" w:line="240" w:lineRule="auto"/>
        <w:jc w:val="center"/>
        <w:rPr>
          <w:rStyle w:val="Heading1Char"/>
          <w:rFonts w:asciiTheme="minorHAnsi" w:hAnsiTheme="minorHAnsi" w:cstheme="minorHAnsi"/>
          <w:b w:val="0"/>
          <w:color w:val="0000FF"/>
          <w:sz w:val="24"/>
          <w:shd w:val="clear" w:color="auto" w:fill="auto"/>
        </w:rPr>
      </w:pPr>
      <w:r w:rsidRPr="004008D6">
        <w:rPr>
          <w:rStyle w:val="Heading1Char"/>
          <w:rFonts w:asciiTheme="minorHAnsi" w:hAnsiTheme="minorHAnsi" w:cstheme="minorHAnsi"/>
          <w:b w:val="0"/>
          <w:color w:val="0000FF"/>
          <w:sz w:val="24"/>
          <w:highlight w:val="yellow"/>
          <w:shd w:val="clear" w:color="auto" w:fill="auto"/>
        </w:rPr>
        <w:t>Additional recommendations are in blue</w:t>
      </w:r>
    </w:p>
    <w:p w14:paraId="5EF290C4" w14:textId="77777777" w:rsidR="00C00F0E" w:rsidRPr="00902994" w:rsidRDefault="00C00F0E" w:rsidP="00C00F0E">
      <w:pPr>
        <w:spacing w:after="120"/>
        <w:rPr>
          <w:b/>
          <w:color w:val="00B050"/>
          <w:sz w:val="24"/>
        </w:rPr>
      </w:pPr>
      <w:r w:rsidRPr="00902994">
        <w:rPr>
          <w:b/>
          <w:color w:val="00B050"/>
          <w:sz w:val="24"/>
        </w:rPr>
        <w:t>Health and access to innovative medicines</w:t>
      </w:r>
    </w:p>
    <w:p w14:paraId="1AA89A94" w14:textId="77777777" w:rsidR="00C00F0E" w:rsidRPr="008F502D" w:rsidRDefault="00C00F0E" w:rsidP="00C00F0E">
      <w:pPr>
        <w:pStyle w:val="ListParagraph1"/>
        <w:numPr>
          <w:ilvl w:val="0"/>
          <w:numId w:val="3"/>
        </w:numPr>
        <w:spacing w:after="120" w:line="252" w:lineRule="auto"/>
        <w:ind w:left="283" w:hanging="357"/>
        <w:contextualSpacing w:val="0"/>
        <w:jc w:val="both"/>
        <w:rPr>
          <w:rFonts w:cs="Arial"/>
        </w:rPr>
      </w:pPr>
      <w:r w:rsidRPr="008F502D">
        <w:rPr>
          <w:rFonts w:cs="Arial"/>
        </w:rPr>
        <w:t xml:space="preserve">Health is a fundamental right </w:t>
      </w:r>
      <w:r w:rsidRPr="008F502D">
        <w:rPr>
          <w:rFonts w:cs="Arial"/>
          <w:i/>
        </w:rPr>
        <w:t>as well as</w:t>
      </w:r>
      <w:r w:rsidRPr="008F502D">
        <w:rPr>
          <w:rFonts w:cs="Arial"/>
        </w:rPr>
        <w:t xml:space="preserve"> a critical investment in the well-being, economic development and cohesiveness of society. </w:t>
      </w:r>
    </w:p>
    <w:p w14:paraId="3B9D78D3" w14:textId="77777777" w:rsidR="00902994" w:rsidRPr="00902994" w:rsidRDefault="00C00F0E" w:rsidP="00902994">
      <w:pPr>
        <w:pStyle w:val="ListParagraph1"/>
        <w:numPr>
          <w:ilvl w:val="0"/>
          <w:numId w:val="3"/>
        </w:numPr>
        <w:spacing w:after="240" w:line="252" w:lineRule="auto"/>
        <w:ind w:left="283" w:hanging="357"/>
        <w:contextualSpacing w:val="0"/>
        <w:jc w:val="both"/>
        <w:rPr>
          <w:rFonts w:cs="Arial"/>
          <w:szCs w:val="24"/>
        </w:rPr>
      </w:pPr>
      <w:r w:rsidRPr="008F502D">
        <w:rPr>
          <w:rFonts w:cs="Arial"/>
        </w:rPr>
        <w:t xml:space="preserve">Medicines are not a consumer good like any other; patients are not merely consumers, and patients’ lives cannot be measured in purely economic terms. Medicines are an essential a public good and a core element of health policy. </w:t>
      </w:r>
    </w:p>
    <w:p w14:paraId="513EDE68" w14:textId="69DBE676" w:rsidR="00C00F0E" w:rsidRPr="00902994" w:rsidRDefault="00902994" w:rsidP="00132F49">
      <w:pPr>
        <w:pStyle w:val="ListParagraph1"/>
        <w:numPr>
          <w:ilvl w:val="0"/>
          <w:numId w:val="3"/>
        </w:numPr>
        <w:spacing w:after="120" w:line="252" w:lineRule="auto"/>
        <w:ind w:left="283" w:hanging="357"/>
        <w:contextualSpacing w:val="0"/>
        <w:jc w:val="both"/>
        <w:rPr>
          <w:rFonts w:cs="Arial"/>
        </w:rPr>
      </w:pPr>
      <w:r w:rsidRPr="00902994">
        <w:rPr>
          <w:rFonts w:cs="Arial"/>
          <w:szCs w:val="24"/>
        </w:rPr>
        <w:t xml:space="preserve">Patients’ needs go beyond medicines and include other therapeutic options, social and community services and peer support. Innovation should be encouraged in this wider sense, encompassing better ways of structuring and delivering integrated health and social care; more efficiency and effectiveness; social innovation; and the development and effective use of new user-driven technologies. </w:t>
      </w:r>
    </w:p>
    <w:p w14:paraId="025AD044" w14:textId="77777777" w:rsidR="00C00F0E" w:rsidRPr="00902994" w:rsidRDefault="00C00F0E" w:rsidP="00C00F0E">
      <w:pPr>
        <w:spacing w:after="120"/>
        <w:rPr>
          <w:b/>
          <w:color w:val="00B050"/>
          <w:sz w:val="24"/>
        </w:rPr>
      </w:pPr>
      <w:r w:rsidRPr="00902994">
        <w:rPr>
          <w:b/>
          <w:color w:val="00B050"/>
          <w:sz w:val="24"/>
        </w:rPr>
        <w:t>The centrality of patients</w:t>
      </w:r>
    </w:p>
    <w:p w14:paraId="70F47A2C" w14:textId="77777777" w:rsidR="00C00F0E" w:rsidRPr="008F502D" w:rsidRDefault="00C00F0E" w:rsidP="00C00F0E">
      <w:pPr>
        <w:pStyle w:val="ListParagraph1"/>
        <w:numPr>
          <w:ilvl w:val="0"/>
          <w:numId w:val="3"/>
        </w:numPr>
        <w:spacing w:after="120" w:line="252" w:lineRule="auto"/>
        <w:ind w:left="283" w:hanging="357"/>
        <w:contextualSpacing w:val="0"/>
        <w:jc w:val="both"/>
        <w:rPr>
          <w:rFonts w:cs="Arial"/>
          <w:szCs w:val="24"/>
        </w:rPr>
      </w:pPr>
      <w:r w:rsidRPr="008F502D">
        <w:rPr>
          <w:rFonts w:cs="Arial"/>
          <w:szCs w:val="24"/>
        </w:rPr>
        <w:t xml:space="preserve">A common understanding is needed on the concepts of “innovation”, “value” and “added therapeutic value”. Patients’ views should be central to this understanding, including patients’ perceptions of quality of life, patient-relevant clinical endpoints, and patients’ views on benefits and risks. </w:t>
      </w:r>
    </w:p>
    <w:p w14:paraId="6DFFD009" w14:textId="77777777" w:rsidR="00C00F0E" w:rsidRPr="008F502D" w:rsidRDefault="00C00F0E" w:rsidP="00C00F0E">
      <w:pPr>
        <w:pStyle w:val="ListParagraph1"/>
        <w:numPr>
          <w:ilvl w:val="0"/>
          <w:numId w:val="3"/>
        </w:numPr>
        <w:spacing w:after="120" w:line="252" w:lineRule="auto"/>
        <w:ind w:left="283" w:hanging="357"/>
        <w:contextualSpacing w:val="0"/>
        <w:jc w:val="both"/>
        <w:rPr>
          <w:rFonts w:cs="Arial"/>
          <w:szCs w:val="24"/>
        </w:rPr>
      </w:pPr>
      <w:r w:rsidRPr="008F502D">
        <w:rPr>
          <w:rFonts w:cs="Arial"/>
          <w:szCs w:val="24"/>
        </w:rPr>
        <w:t>Patients should be recognised as the most important stakeholder group in medicines pricing and value assessment, and the patient perspective should be at the heart of every assessment.</w:t>
      </w:r>
    </w:p>
    <w:p w14:paraId="09DCE953" w14:textId="63A14877" w:rsidR="00C00F0E" w:rsidRDefault="00C00F0E" w:rsidP="00902994">
      <w:pPr>
        <w:pStyle w:val="ListParagraph1"/>
        <w:numPr>
          <w:ilvl w:val="0"/>
          <w:numId w:val="3"/>
        </w:numPr>
        <w:spacing w:after="240" w:line="252" w:lineRule="auto"/>
        <w:ind w:left="283" w:hanging="357"/>
        <w:contextualSpacing w:val="0"/>
        <w:jc w:val="both"/>
        <w:rPr>
          <w:rFonts w:cs="Arial"/>
          <w:szCs w:val="24"/>
        </w:rPr>
      </w:pPr>
      <w:r w:rsidRPr="008F502D">
        <w:rPr>
          <w:rFonts w:cs="Arial"/>
          <w:szCs w:val="24"/>
        </w:rPr>
        <w:t xml:space="preserve">Frameworks, structures and methodologies should be developed for meaningfully incorporating patient evidence at all stages, from early dialogue to Health Technology Assessments, relative effectiveness assessments, and pricing and reimbursement decisions taken at national level. </w:t>
      </w:r>
    </w:p>
    <w:p w14:paraId="7AEFD8F6" w14:textId="55CAE4FB" w:rsidR="00C00F0E" w:rsidRPr="00902994" w:rsidRDefault="004A4BFF" w:rsidP="00C00F0E">
      <w:pPr>
        <w:spacing w:after="120"/>
        <w:rPr>
          <w:b/>
          <w:color w:val="00B050"/>
          <w:sz w:val="24"/>
        </w:rPr>
      </w:pPr>
      <w:r w:rsidRPr="00902994">
        <w:rPr>
          <w:b/>
          <w:color w:val="00B050"/>
          <w:sz w:val="24"/>
        </w:rPr>
        <w:t xml:space="preserve">Call for action to EU Member States, European Commission and Pharmaceutical Industry </w:t>
      </w:r>
    </w:p>
    <w:p w14:paraId="2A31087C" w14:textId="5B0C8D6B" w:rsidR="004A4BFF" w:rsidRPr="00FA6FBC" w:rsidRDefault="004A4BFF" w:rsidP="004A4BFF">
      <w:pPr>
        <w:pStyle w:val="ListParagraph1"/>
        <w:numPr>
          <w:ilvl w:val="0"/>
          <w:numId w:val="13"/>
        </w:numPr>
        <w:spacing w:after="120" w:line="252" w:lineRule="auto"/>
        <w:ind w:left="284" w:hanging="284"/>
        <w:contextualSpacing w:val="0"/>
        <w:jc w:val="both"/>
        <w:rPr>
          <w:rFonts w:cs="Arial"/>
          <w:color w:val="0000FF"/>
          <w:szCs w:val="24"/>
        </w:rPr>
      </w:pPr>
      <w:r w:rsidRPr="00FA6FBC">
        <w:rPr>
          <w:rFonts w:cs="Arial"/>
          <w:color w:val="0000FF"/>
          <w:szCs w:val="24"/>
        </w:rPr>
        <w:t xml:space="preserve">The European Commission should implement the European Parliament’s call to set up a High Level Strategic Dialogue co-ordinated by the Commission, which should include patient organisations, to reflect and establish concrete and comprehensive strategies to achieve a framework for fair and equitable access in the short, medium and long term. </w:t>
      </w:r>
    </w:p>
    <w:p w14:paraId="5E633DF7" w14:textId="2B940530" w:rsidR="00C00F0E" w:rsidRPr="008F502D" w:rsidRDefault="004A4BFF" w:rsidP="004A4BFF">
      <w:pPr>
        <w:pStyle w:val="ListParagraph1"/>
        <w:numPr>
          <w:ilvl w:val="0"/>
          <w:numId w:val="13"/>
        </w:numPr>
        <w:spacing w:after="120" w:line="252" w:lineRule="auto"/>
        <w:ind w:left="284" w:hanging="284"/>
        <w:contextualSpacing w:val="0"/>
        <w:jc w:val="both"/>
        <w:rPr>
          <w:rFonts w:cs="Arial"/>
          <w:szCs w:val="24"/>
        </w:rPr>
      </w:pPr>
      <w:r w:rsidRPr="00FA6FBC">
        <w:rPr>
          <w:rFonts w:cs="Arial"/>
          <w:color w:val="0000FF"/>
          <w:szCs w:val="24"/>
        </w:rPr>
        <w:t>Such a framework should</w:t>
      </w:r>
      <w:r w:rsidR="00C00F0E" w:rsidRPr="00FA6FBC">
        <w:rPr>
          <w:rFonts w:cs="Arial"/>
          <w:color w:val="0000FF"/>
          <w:szCs w:val="24"/>
        </w:rPr>
        <w:t xml:space="preserve"> </w:t>
      </w:r>
      <w:r w:rsidR="00C00F0E" w:rsidRPr="00FA6FBC">
        <w:rPr>
          <w:rFonts w:cs="Arial"/>
          <w:szCs w:val="24"/>
        </w:rPr>
        <w:t xml:space="preserve">maximise </w:t>
      </w:r>
      <w:r w:rsidR="00C00F0E" w:rsidRPr="008F502D">
        <w:rPr>
          <w:rFonts w:cs="Arial"/>
          <w:szCs w:val="24"/>
        </w:rPr>
        <w:t>societal benefit and patient access whilst avoiding unacceptable impact on healthcare budgets should be developed at EU level, through a consultative process led by governments with the participation of all stakeholders including patients. Such a framework should encompass at least the following elements:</w:t>
      </w:r>
    </w:p>
    <w:p w14:paraId="204D1C73" w14:textId="77777777" w:rsidR="00C00F0E" w:rsidRPr="008F502D" w:rsidRDefault="00C00F0E" w:rsidP="004A4BFF">
      <w:pPr>
        <w:pStyle w:val="ListParagraph1"/>
        <w:numPr>
          <w:ilvl w:val="1"/>
          <w:numId w:val="4"/>
        </w:numPr>
        <w:spacing w:after="0" w:line="252" w:lineRule="auto"/>
        <w:ind w:left="788" w:hanging="431"/>
        <w:contextualSpacing w:val="0"/>
        <w:jc w:val="both"/>
        <w:rPr>
          <w:sz w:val="20"/>
        </w:rPr>
      </w:pPr>
      <w:r w:rsidRPr="008F502D">
        <w:rPr>
          <w:rFonts w:cs="Arial"/>
          <w:szCs w:val="24"/>
        </w:rPr>
        <w:t xml:space="preserve">Closer collaboration by Member States on price negotiations and scaling-up of pilots on early dialogue such as </w:t>
      </w:r>
      <w:proofErr w:type="spellStart"/>
      <w:r w:rsidRPr="008F502D">
        <w:rPr>
          <w:rFonts w:cs="Arial"/>
          <w:szCs w:val="24"/>
        </w:rPr>
        <w:t>MoCA</w:t>
      </w:r>
      <w:proofErr w:type="spellEnd"/>
      <w:r w:rsidRPr="008F502D">
        <w:rPr>
          <w:rFonts w:cs="Arial"/>
          <w:szCs w:val="24"/>
        </w:rPr>
        <w:t xml:space="preserve"> and SEED;</w:t>
      </w:r>
    </w:p>
    <w:p w14:paraId="5D35C24A" w14:textId="36733A13" w:rsidR="004008D6" w:rsidRDefault="00C00F0E" w:rsidP="004008D6">
      <w:pPr>
        <w:pStyle w:val="ListParagraph"/>
        <w:numPr>
          <w:ilvl w:val="1"/>
          <w:numId w:val="4"/>
        </w:numPr>
        <w:rPr>
          <w:rFonts w:cs="Arial"/>
          <w:color w:val="0000FF"/>
          <w:szCs w:val="24"/>
        </w:rPr>
      </w:pPr>
      <w:r w:rsidRPr="004008D6">
        <w:rPr>
          <w:rFonts w:cs="Arial"/>
          <w:szCs w:val="24"/>
        </w:rPr>
        <w:t>Adoption of common principles and mechanisms for encouraging and rewarding innovation in order to encourage continued investment in R&amp;D</w:t>
      </w:r>
      <w:r w:rsidR="004008D6" w:rsidRPr="004008D6">
        <w:rPr>
          <w:rFonts w:cs="Arial"/>
          <w:szCs w:val="24"/>
        </w:rPr>
        <w:t xml:space="preserve">, </w:t>
      </w:r>
      <w:r w:rsidR="004008D6" w:rsidRPr="004008D6">
        <w:rPr>
          <w:rFonts w:cs="Arial"/>
          <w:color w:val="0000FF"/>
          <w:szCs w:val="24"/>
        </w:rPr>
        <w:t>including a “fair return on investment”</w:t>
      </w:r>
      <w:r w:rsidR="004008D6">
        <w:rPr>
          <w:rFonts w:cs="Arial"/>
          <w:color w:val="0000FF"/>
          <w:szCs w:val="24"/>
        </w:rPr>
        <w:t>;</w:t>
      </w:r>
    </w:p>
    <w:p w14:paraId="057569F3" w14:textId="35C6EB7A" w:rsidR="004008D6" w:rsidRPr="004008D6" w:rsidRDefault="004008D6" w:rsidP="004008D6">
      <w:pPr>
        <w:pStyle w:val="ListParagraph"/>
        <w:numPr>
          <w:ilvl w:val="1"/>
          <w:numId w:val="4"/>
        </w:numPr>
        <w:rPr>
          <w:rFonts w:cs="Arial"/>
          <w:color w:val="0000FF"/>
          <w:szCs w:val="24"/>
        </w:rPr>
      </w:pPr>
      <w:r>
        <w:rPr>
          <w:rFonts w:cs="Arial"/>
          <w:color w:val="0000FF"/>
          <w:szCs w:val="24"/>
        </w:rPr>
        <w:t>E</w:t>
      </w:r>
      <w:r w:rsidRPr="004008D6">
        <w:rPr>
          <w:rFonts w:cs="Arial"/>
          <w:color w:val="0000FF"/>
          <w:szCs w:val="24"/>
        </w:rPr>
        <w:t xml:space="preserve">xploration of innovative models for incentivising research &amp; development especially in neglected areas; </w:t>
      </w:r>
    </w:p>
    <w:p w14:paraId="19674795" w14:textId="77777777" w:rsidR="00C00F0E" w:rsidRPr="008F502D" w:rsidRDefault="00C00F0E" w:rsidP="004A4BFF">
      <w:pPr>
        <w:pStyle w:val="ListParagraph1"/>
        <w:numPr>
          <w:ilvl w:val="1"/>
          <w:numId w:val="4"/>
        </w:numPr>
        <w:spacing w:after="0" w:line="252" w:lineRule="auto"/>
        <w:ind w:left="788" w:hanging="431"/>
        <w:contextualSpacing w:val="0"/>
        <w:jc w:val="both"/>
        <w:rPr>
          <w:rFonts w:cs="Arial"/>
          <w:szCs w:val="24"/>
        </w:rPr>
      </w:pPr>
      <w:r w:rsidRPr="008F502D">
        <w:rPr>
          <w:rFonts w:cs="Arial"/>
          <w:szCs w:val="24"/>
        </w:rPr>
        <w:lastRenderedPageBreak/>
        <w:t>Exploration of the potential of adaptive pathways, managed entry agreements and other mechanisms for optimising access and determination of value;</w:t>
      </w:r>
    </w:p>
    <w:p w14:paraId="176C1D9C" w14:textId="30CE327D" w:rsidR="004A4BFF" w:rsidRDefault="00C00F0E" w:rsidP="004A4BFF">
      <w:pPr>
        <w:pStyle w:val="ListParagraph1"/>
        <w:numPr>
          <w:ilvl w:val="1"/>
          <w:numId w:val="4"/>
        </w:numPr>
        <w:spacing w:after="0" w:line="252" w:lineRule="auto"/>
        <w:ind w:left="788" w:hanging="431"/>
        <w:contextualSpacing w:val="0"/>
        <w:jc w:val="both"/>
        <w:rPr>
          <w:rFonts w:cs="Arial"/>
          <w:szCs w:val="24"/>
        </w:rPr>
      </w:pPr>
      <w:r w:rsidRPr="008F502D">
        <w:rPr>
          <w:rFonts w:cs="Arial"/>
          <w:szCs w:val="24"/>
        </w:rPr>
        <w:t>More thorough exploration of differential pricing mechanisms, barriers and potential solutions to dealing with practical issues such as parallel trade</w:t>
      </w:r>
      <w:r w:rsidR="004A4BFF">
        <w:rPr>
          <w:rFonts w:cs="Arial"/>
          <w:szCs w:val="24"/>
        </w:rPr>
        <w:t>;</w:t>
      </w:r>
    </w:p>
    <w:p w14:paraId="2A31E7A9" w14:textId="141EEC1F" w:rsidR="00C00F0E" w:rsidRPr="00FA6FBC" w:rsidRDefault="00B44C87" w:rsidP="004008D6">
      <w:pPr>
        <w:pStyle w:val="ListParagraph1"/>
        <w:numPr>
          <w:ilvl w:val="1"/>
          <w:numId w:val="4"/>
        </w:numPr>
        <w:spacing w:after="120" w:line="252" w:lineRule="auto"/>
        <w:contextualSpacing w:val="0"/>
        <w:jc w:val="both"/>
        <w:rPr>
          <w:rFonts w:cs="Arial"/>
          <w:color w:val="0000FF"/>
          <w:szCs w:val="24"/>
        </w:rPr>
      </w:pPr>
      <w:r w:rsidRPr="00FA6FBC">
        <w:rPr>
          <w:rFonts w:cs="Arial"/>
          <w:color w:val="0000FF"/>
          <w:szCs w:val="24"/>
        </w:rPr>
        <w:t>C</w:t>
      </w:r>
      <w:r w:rsidR="00C00F0E" w:rsidRPr="00FA6FBC">
        <w:rPr>
          <w:rFonts w:cs="Arial"/>
          <w:color w:val="0000FF"/>
          <w:szCs w:val="24"/>
        </w:rPr>
        <w:t xml:space="preserve">ommon EU </w:t>
      </w:r>
      <w:r w:rsidRPr="00FA6FBC">
        <w:rPr>
          <w:rFonts w:cs="Arial"/>
          <w:color w:val="0000FF"/>
          <w:szCs w:val="24"/>
        </w:rPr>
        <w:t xml:space="preserve">principles </w:t>
      </w:r>
      <w:r w:rsidR="00C00F0E" w:rsidRPr="00FA6FBC">
        <w:rPr>
          <w:rFonts w:cs="Arial"/>
          <w:color w:val="0000FF"/>
          <w:szCs w:val="24"/>
        </w:rPr>
        <w:t xml:space="preserve">for </w:t>
      </w:r>
      <w:r w:rsidRPr="00FA6FBC">
        <w:rPr>
          <w:rFonts w:cs="Arial"/>
          <w:color w:val="0000FF"/>
          <w:szCs w:val="24"/>
        </w:rPr>
        <w:t xml:space="preserve">calculating a </w:t>
      </w:r>
      <w:r w:rsidR="00C00F0E" w:rsidRPr="00FA6FBC">
        <w:rPr>
          <w:rFonts w:cs="Arial"/>
          <w:color w:val="0000FF"/>
          <w:szCs w:val="24"/>
        </w:rPr>
        <w:t>fair price</w:t>
      </w:r>
      <w:r w:rsidR="004008D6">
        <w:rPr>
          <w:rFonts w:cs="Arial"/>
          <w:color w:val="0000FF"/>
          <w:szCs w:val="24"/>
        </w:rPr>
        <w:t xml:space="preserve">, taking into account </w:t>
      </w:r>
      <w:r w:rsidR="004008D6" w:rsidRPr="004008D6">
        <w:rPr>
          <w:rFonts w:cs="Arial"/>
          <w:color w:val="0000FF"/>
          <w:szCs w:val="24"/>
        </w:rPr>
        <w:t>the specifics of each</w:t>
      </w:r>
      <w:r w:rsidR="004008D6">
        <w:rPr>
          <w:rFonts w:cs="Arial"/>
          <w:color w:val="0000FF"/>
          <w:szCs w:val="24"/>
        </w:rPr>
        <w:t xml:space="preserve"> Member State such as</w:t>
      </w:r>
      <w:r w:rsidR="004008D6" w:rsidRPr="004008D6">
        <w:rPr>
          <w:rFonts w:cs="Arial"/>
          <w:color w:val="0000FF"/>
          <w:szCs w:val="24"/>
        </w:rPr>
        <w:t xml:space="preserve"> economic development, cost of living, added value for society, long term savings may vary from country to country etc.</w:t>
      </w:r>
    </w:p>
    <w:p w14:paraId="579111A4" w14:textId="3CCF5D9F" w:rsidR="00C00F0E" w:rsidRDefault="00C00F0E" w:rsidP="004A4BFF">
      <w:pPr>
        <w:pStyle w:val="ListParagraph1"/>
        <w:numPr>
          <w:ilvl w:val="0"/>
          <w:numId w:val="13"/>
        </w:numPr>
        <w:spacing w:after="120" w:line="252" w:lineRule="auto"/>
        <w:ind w:left="357" w:hanging="357"/>
        <w:contextualSpacing w:val="0"/>
        <w:jc w:val="both"/>
        <w:rPr>
          <w:rFonts w:cs="Arial"/>
          <w:szCs w:val="24"/>
        </w:rPr>
      </w:pPr>
      <w:r w:rsidRPr="00902994">
        <w:rPr>
          <w:rFonts w:cs="Arial"/>
          <w:b/>
          <w:szCs w:val="24"/>
        </w:rPr>
        <w:t>Pricing and reimbursement authorities</w:t>
      </w:r>
      <w:r w:rsidRPr="008F502D">
        <w:rPr>
          <w:rFonts w:cs="Arial"/>
          <w:szCs w:val="24"/>
        </w:rPr>
        <w:t xml:space="preserve"> should be transparent about their decisions, how these are made, what criteria are used, and who is involved in the process. Information explaining decisions should be available in an easily accessible and understandable format that addresses the specific questions of patients and the public. </w:t>
      </w:r>
    </w:p>
    <w:p w14:paraId="7A47832F" w14:textId="6B383E4C" w:rsidR="004A4BFF" w:rsidRPr="00FA6FBC" w:rsidRDefault="004A4BFF" w:rsidP="004A4BFF">
      <w:pPr>
        <w:pStyle w:val="ListParagraph1"/>
        <w:numPr>
          <w:ilvl w:val="0"/>
          <w:numId w:val="13"/>
        </w:numPr>
        <w:spacing w:after="120" w:line="252" w:lineRule="auto"/>
        <w:ind w:left="357" w:hanging="357"/>
        <w:contextualSpacing w:val="0"/>
        <w:jc w:val="both"/>
        <w:rPr>
          <w:rFonts w:cs="Arial"/>
          <w:color w:val="0000FF"/>
          <w:szCs w:val="24"/>
        </w:rPr>
      </w:pPr>
      <w:r w:rsidRPr="00902994">
        <w:rPr>
          <w:rFonts w:cs="Arial"/>
          <w:b/>
          <w:color w:val="0000FF"/>
          <w:szCs w:val="24"/>
        </w:rPr>
        <w:t>Cooperation between Member States</w:t>
      </w:r>
      <w:r w:rsidRPr="00FA6FBC">
        <w:rPr>
          <w:rFonts w:cs="Arial"/>
          <w:color w:val="0000FF"/>
          <w:szCs w:val="24"/>
        </w:rPr>
        <w:t xml:space="preserve"> on medicines pricing should </w:t>
      </w:r>
      <w:r w:rsidR="00375804">
        <w:rPr>
          <w:rFonts w:cs="Arial"/>
          <w:color w:val="0000FF"/>
          <w:szCs w:val="24"/>
        </w:rPr>
        <w:t xml:space="preserve">take place on the basis of cross-EU solidarity and </w:t>
      </w:r>
      <w:r w:rsidRPr="00FA6FBC">
        <w:rPr>
          <w:rFonts w:cs="Arial"/>
          <w:color w:val="0000FF"/>
          <w:szCs w:val="24"/>
        </w:rPr>
        <w:t>include meaningful involvement of patient organisations</w:t>
      </w:r>
      <w:r w:rsidR="00375804">
        <w:rPr>
          <w:rFonts w:cs="Arial"/>
          <w:color w:val="0000FF"/>
          <w:szCs w:val="24"/>
        </w:rPr>
        <w:t xml:space="preserve"> as well as </w:t>
      </w:r>
      <w:r w:rsidRPr="00FA6FBC">
        <w:rPr>
          <w:rFonts w:cs="Arial"/>
          <w:color w:val="0000FF"/>
          <w:szCs w:val="24"/>
        </w:rPr>
        <w:t>an appropriate level of transparency towards patients and the public</w:t>
      </w:r>
      <w:r w:rsidR="00375804">
        <w:rPr>
          <w:rFonts w:cs="Arial"/>
          <w:color w:val="0000FF"/>
          <w:szCs w:val="24"/>
        </w:rPr>
        <w:t>.</w:t>
      </w:r>
    </w:p>
    <w:p w14:paraId="7CC21314" w14:textId="3FF62387" w:rsidR="00C00F0E" w:rsidRPr="00FA6FBC" w:rsidRDefault="00B44C87" w:rsidP="004A4BFF">
      <w:pPr>
        <w:pStyle w:val="ListParagraph1"/>
        <w:numPr>
          <w:ilvl w:val="0"/>
          <w:numId w:val="13"/>
        </w:numPr>
        <w:spacing w:after="120" w:line="252" w:lineRule="auto"/>
        <w:ind w:left="357" w:hanging="357"/>
        <w:contextualSpacing w:val="0"/>
        <w:jc w:val="both"/>
        <w:rPr>
          <w:rFonts w:cs="Arial"/>
          <w:color w:val="0000FF"/>
          <w:szCs w:val="24"/>
        </w:rPr>
      </w:pPr>
      <w:r w:rsidRPr="00FA6FBC">
        <w:rPr>
          <w:rFonts w:cs="Arial"/>
          <w:color w:val="0000FF"/>
          <w:szCs w:val="24"/>
        </w:rPr>
        <w:t>I</w:t>
      </w:r>
      <w:r w:rsidR="00C00F0E" w:rsidRPr="00FA6FBC">
        <w:rPr>
          <w:rFonts w:cs="Arial"/>
          <w:color w:val="0000FF"/>
          <w:szCs w:val="24"/>
        </w:rPr>
        <w:t>n</w:t>
      </w:r>
      <w:r w:rsidRPr="00FA6FBC">
        <w:rPr>
          <w:rFonts w:cs="Arial"/>
          <w:color w:val="0000FF"/>
          <w:szCs w:val="24"/>
        </w:rPr>
        <w:t xml:space="preserve"> </w:t>
      </w:r>
      <w:r w:rsidR="00C00F0E" w:rsidRPr="00FA6FBC">
        <w:rPr>
          <w:rFonts w:cs="Arial"/>
          <w:color w:val="0000FF"/>
          <w:szCs w:val="24"/>
        </w:rPr>
        <w:t xml:space="preserve">order to ensure justifiable and ethical profit margins the companies, </w:t>
      </w:r>
      <w:r w:rsidR="00C00F0E" w:rsidRPr="00902994">
        <w:rPr>
          <w:rFonts w:cs="Arial"/>
          <w:b/>
          <w:color w:val="0000FF"/>
          <w:szCs w:val="24"/>
        </w:rPr>
        <w:t>all costs of developing the therapy and/or acquisition</w:t>
      </w:r>
      <w:r w:rsidR="00C00F0E" w:rsidRPr="00FA6FBC">
        <w:rPr>
          <w:rFonts w:cs="Arial"/>
          <w:color w:val="0000FF"/>
          <w:szCs w:val="24"/>
        </w:rPr>
        <w:t xml:space="preserve"> must be</w:t>
      </w:r>
      <w:r w:rsidRPr="00FA6FBC">
        <w:rPr>
          <w:rFonts w:cs="Arial"/>
          <w:color w:val="0000FF"/>
          <w:szCs w:val="24"/>
        </w:rPr>
        <w:t xml:space="preserve"> made</w:t>
      </w:r>
      <w:r w:rsidR="00C00F0E" w:rsidRPr="00FA6FBC">
        <w:rPr>
          <w:rFonts w:cs="Arial"/>
          <w:color w:val="0000FF"/>
          <w:szCs w:val="24"/>
        </w:rPr>
        <w:t xml:space="preserve"> transparent.</w:t>
      </w:r>
    </w:p>
    <w:p w14:paraId="57D5814C" w14:textId="0CFB84F9" w:rsidR="00B44C87" w:rsidRPr="00902994" w:rsidRDefault="00B44C87" w:rsidP="004A4BFF">
      <w:pPr>
        <w:pStyle w:val="ListParagraph1"/>
        <w:numPr>
          <w:ilvl w:val="0"/>
          <w:numId w:val="13"/>
        </w:numPr>
        <w:spacing w:after="120" w:line="252" w:lineRule="auto"/>
        <w:ind w:left="357" w:hanging="357"/>
        <w:contextualSpacing w:val="0"/>
        <w:jc w:val="both"/>
        <w:rPr>
          <w:rFonts w:cs="Arial"/>
          <w:szCs w:val="24"/>
        </w:rPr>
      </w:pPr>
      <w:r w:rsidRPr="00902994">
        <w:rPr>
          <w:rFonts w:cs="Arial"/>
          <w:szCs w:val="24"/>
        </w:rPr>
        <w:t>Pharmaceutical companies should price new medicines responsibly to ensure that they are accessible and affordable. Pricing should consider inter alia a country’s relative capacity to pay; budget impact; the extent of public funding that contributed to the development of a medicine; and the need to ensure universal access.</w:t>
      </w:r>
    </w:p>
    <w:p w14:paraId="04996EF9" w14:textId="59D780FC" w:rsidR="001A2BC9" w:rsidRPr="00FA6FBC" w:rsidRDefault="004A4BFF" w:rsidP="004A4BFF">
      <w:pPr>
        <w:pStyle w:val="ListParagraph1"/>
        <w:numPr>
          <w:ilvl w:val="0"/>
          <w:numId w:val="13"/>
        </w:numPr>
        <w:spacing w:after="120" w:line="252" w:lineRule="auto"/>
        <w:ind w:left="357" w:hanging="357"/>
        <w:contextualSpacing w:val="0"/>
        <w:jc w:val="both"/>
        <w:rPr>
          <w:rFonts w:cs="Arial"/>
          <w:color w:val="0000FF"/>
          <w:szCs w:val="24"/>
        </w:rPr>
      </w:pPr>
      <w:r w:rsidRPr="00FA6FBC">
        <w:rPr>
          <w:rFonts w:cs="Arial"/>
          <w:color w:val="0000FF"/>
          <w:szCs w:val="24"/>
        </w:rPr>
        <w:t>T</w:t>
      </w:r>
      <w:r w:rsidR="005C22E7" w:rsidRPr="00FA6FBC">
        <w:rPr>
          <w:rFonts w:cs="Arial"/>
          <w:color w:val="0000FF"/>
          <w:szCs w:val="24"/>
        </w:rPr>
        <w:t xml:space="preserve">he </w:t>
      </w:r>
      <w:r w:rsidR="005C22E7" w:rsidRPr="00902994">
        <w:rPr>
          <w:rFonts w:cs="Arial"/>
          <w:b/>
          <w:color w:val="0000FF"/>
          <w:szCs w:val="24"/>
        </w:rPr>
        <w:t>European Commission should collect and</w:t>
      </w:r>
      <w:r w:rsidR="005C22E7" w:rsidRPr="00FA6FBC">
        <w:rPr>
          <w:rFonts w:cs="Arial"/>
          <w:color w:val="0000FF"/>
          <w:szCs w:val="24"/>
        </w:rPr>
        <w:t xml:space="preserve"> </w:t>
      </w:r>
      <w:r w:rsidR="005C22E7" w:rsidRPr="00902994">
        <w:rPr>
          <w:rFonts w:cs="Arial"/>
          <w:b/>
          <w:color w:val="0000FF"/>
          <w:szCs w:val="24"/>
        </w:rPr>
        <w:t xml:space="preserve">analyse </w:t>
      </w:r>
      <w:r w:rsidR="001A2BC9" w:rsidRPr="00902994">
        <w:rPr>
          <w:rFonts w:cs="Arial"/>
          <w:b/>
          <w:color w:val="0000FF"/>
          <w:szCs w:val="24"/>
        </w:rPr>
        <w:t xml:space="preserve">data </w:t>
      </w:r>
      <w:r w:rsidR="005C22E7" w:rsidRPr="00902994">
        <w:rPr>
          <w:rFonts w:cs="Arial"/>
          <w:b/>
          <w:color w:val="0000FF"/>
          <w:szCs w:val="24"/>
        </w:rPr>
        <w:t xml:space="preserve">and provide public reports  </w:t>
      </w:r>
      <w:r w:rsidR="001A2BC9" w:rsidRPr="00902994">
        <w:rPr>
          <w:rFonts w:cs="Arial"/>
          <w:b/>
          <w:color w:val="0000FF"/>
          <w:szCs w:val="24"/>
        </w:rPr>
        <w:t>on access</w:t>
      </w:r>
      <w:r w:rsidR="005C22E7" w:rsidRPr="00902994">
        <w:rPr>
          <w:rFonts w:cs="Arial"/>
          <w:b/>
          <w:color w:val="0000FF"/>
          <w:szCs w:val="24"/>
        </w:rPr>
        <w:t xml:space="preserve"> to medicines and access barriers faced by patients</w:t>
      </w:r>
      <w:r w:rsidR="005C22E7" w:rsidRPr="00FA6FBC">
        <w:rPr>
          <w:rFonts w:cs="Arial"/>
          <w:color w:val="0000FF"/>
          <w:szCs w:val="24"/>
        </w:rPr>
        <w:t xml:space="preserve"> in different EU member states</w:t>
      </w:r>
      <w:r w:rsidR="001A2BC9" w:rsidRPr="00FA6FBC">
        <w:rPr>
          <w:rFonts w:cs="Arial"/>
          <w:color w:val="0000FF"/>
          <w:szCs w:val="24"/>
        </w:rPr>
        <w:t xml:space="preserve">, </w:t>
      </w:r>
      <w:r w:rsidR="005C22E7" w:rsidRPr="00FA6FBC">
        <w:rPr>
          <w:rFonts w:cs="Arial"/>
          <w:color w:val="0000FF"/>
          <w:szCs w:val="24"/>
        </w:rPr>
        <w:t xml:space="preserve">including medicine shortages, bad </w:t>
      </w:r>
      <w:r w:rsidR="001A2BC9" w:rsidRPr="00FA6FBC">
        <w:rPr>
          <w:rFonts w:cs="Arial"/>
          <w:color w:val="0000FF"/>
          <w:szCs w:val="24"/>
        </w:rPr>
        <w:t>commercial practices</w:t>
      </w:r>
      <w:r w:rsidR="005C22E7" w:rsidRPr="00FA6FBC">
        <w:rPr>
          <w:rFonts w:cs="Arial"/>
          <w:color w:val="0000FF"/>
          <w:szCs w:val="24"/>
        </w:rPr>
        <w:t xml:space="preserve"> and</w:t>
      </w:r>
      <w:r w:rsidR="001A2BC9" w:rsidRPr="00FA6FBC">
        <w:rPr>
          <w:rFonts w:cs="Arial"/>
          <w:color w:val="0000FF"/>
          <w:szCs w:val="24"/>
        </w:rPr>
        <w:t xml:space="preserve"> price increases </w:t>
      </w:r>
      <w:r w:rsidR="005C22E7" w:rsidRPr="00FA6FBC">
        <w:rPr>
          <w:rFonts w:cs="Arial"/>
          <w:color w:val="0000FF"/>
          <w:szCs w:val="24"/>
        </w:rPr>
        <w:t xml:space="preserve">including </w:t>
      </w:r>
      <w:r w:rsidR="001A2BC9" w:rsidRPr="00FA6FBC">
        <w:rPr>
          <w:rFonts w:cs="Arial"/>
          <w:color w:val="0000FF"/>
          <w:szCs w:val="24"/>
        </w:rPr>
        <w:t xml:space="preserve">of </w:t>
      </w:r>
      <w:r w:rsidR="005C22E7" w:rsidRPr="00FA6FBC">
        <w:rPr>
          <w:rFonts w:cs="Arial"/>
          <w:color w:val="0000FF"/>
          <w:szCs w:val="24"/>
        </w:rPr>
        <w:t>“</w:t>
      </w:r>
      <w:r w:rsidR="001A2BC9" w:rsidRPr="00FA6FBC">
        <w:rPr>
          <w:rFonts w:cs="Arial"/>
          <w:color w:val="0000FF"/>
          <w:szCs w:val="24"/>
        </w:rPr>
        <w:t>repurposed</w:t>
      </w:r>
      <w:r w:rsidR="005C22E7" w:rsidRPr="00FA6FBC">
        <w:rPr>
          <w:rFonts w:cs="Arial"/>
          <w:color w:val="0000FF"/>
          <w:szCs w:val="24"/>
        </w:rPr>
        <w:t>”</w:t>
      </w:r>
      <w:r w:rsidR="001A2BC9" w:rsidRPr="00FA6FBC">
        <w:rPr>
          <w:rFonts w:cs="Arial"/>
          <w:color w:val="0000FF"/>
          <w:szCs w:val="24"/>
        </w:rPr>
        <w:t xml:space="preserve"> products</w:t>
      </w:r>
      <w:r w:rsidR="005C22E7" w:rsidRPr="00FA6FBC">
        <w:rPr>
          <w:rFonts w:cs="Arial"/>
          <w:color w:val="0000FF"/>
          <w:szCs w:val="24"/>
        </w:rPr>
        <w:t>, and other barriers.</w:t>
      </w:r>
      <w:r w:rsidR="001A2BC9" w:rsidRPr="00FA6FBC">
        <w:rPr>
          <w:rFonts w:cs="Arial"/>
          <w:color w:val="0000FF"/>
          <w:szCs w:val="24"/>
        </w:rPr>
        <w:t xml:space="preserve"> </w:t>
      </w:r>
    </w:p>
    <w:p w14:paraId="12497226" w14:textId="18BF1A6A" w:rsidR="005C22E7" w:rsidRPr="00FA6FBC" w:rsidRDefault="005C22E7" w:rsidP="004A4BFF">
      <w:pPr>
        <w:pStyle w:val="ListParagraph1"/>
        <w:numPr>
          <w:ilvl w:val="0"/>
          <w:numId w:val="13"/>
        </w:numPr>
        <w:spacing w:after="120" w:line="252" w:lineRule="auto"/>
        <w:ind w:left="357" w:hanging="357"/>
        <w:contextualSpacing w:val="0"/>
        <w:jc w:val="both"/>
        <w:rPr>
          <w:rFonts w:cs="Arial"/>
          <w:color w:val="0000FF"/>
          <w:szCs w:val="24"/>
        </w:rPr>
      </w:pPr>
      <w:r w:rsidRPr="00FA6FBC">
        <w:rPr>
          <w:rFonts w:cs="Arial"/>
          <w:color w:val="0000FF"/>
          <w:szCs w:val="24"/>
        </w:rPr>
        <w:t xml:space="preserve">The </w:t>
      </w:r>
      <w:r w:rsidRPr="00902994">
        <w:rPr>
          <w:rFonts w:cs="Arial"/>
          <w:b/>
          <w:color w:val="0000FF"/>
          <w:szCs w:val="24"/>
        </w:rPr>
        <w:t>EU should foster</w:t>
      </w:r>
      <w:r w:rsidR="001A2BC9" w:rsidRPr="00902994">
        <w:rPr>
          <w:rFonts w:cs="Arial"/>
          <w:b/>
          <w:color w:val="0000FF"/>
          <w:szCs w:val="24"/>
        </w:rPr>
        <w:t xml:space="preserve"> research and incentives based on patients’ unmet needs</w:t>
      </w:r>
      <w:r w:rsidR="001A2BC9" w:rsidRPr="00FA6FBC">
        <w:rPr>
          <w:rFonts w:cs="Arial"/>
          <w:color w:val="0000FF"/>
          <w:szCs w:val="24"/>
        </w:rPr>
        <w:t xml:space="preserve"> </w:t>
      </w:r>
      <w:r w:rsidRPr="00FA6FBC">
        <w:rPr>
          <w:rFonts w:cs="Arial"/>
          <w:color w:val="0000FF"/>
          <w:szCs w:val="24"/>
        </w:rPr>
        <w:t>including</w:t>
      </w:r>
      <w:r w:rsidR="001A2BC9" w:rsidRPr="00FA6FBC">
        <w:rPr>
          <w:rFonts w:cs="Arial"/>
          <w:color w:val="0000FF"/>
          <w:szCs w:val="24"/>
        </w:rPr>
        <w:t xml:space="preserve"> under-represented patients (</w:t>
      </w:r>
      <w:r w:rsidRPr="00FA6FBC">
        <w:rPr>
          <w:rFonts w:cs="Arial"/>
          <w:color w:val="0000FF"/>
          <w:szCs w:val="24"/>
        </w:rPr>
        <w:t xml:space="preserve">such as </w:t>
      </w:r>
      <w:r w:rsidR="001A2BC9" w:rsidRPr="00FA6FBC">
        <w:rPr>
          <w:rFonts w:cs="Arial"/>
          <w:color w:val="0000FF"/>
          <w:szCs w:val="24"/>
        </w:rPr>
        <w:t>women, older people, children)</w:t>
      </w:r>
      <w:r w:rsidR="00902611" w:rsidRPr="00FA6FBC">
        <w:rPr>
          <w:rFonts w:cs="Arial"/>
          <w:color w:val="0000FF"/>
          <w:szCs w:val="24"/>
        </w:rPr>
        <w:t xml:space="preserve">. </w:t>
      </w:r>
      <w:r w:rsidR="00902611" w:rsidRPr="00902994">
        <w:rPr>
          <w:rFonts w:cs="Arial"/>
          <w:color w:val="0000FF"/>
          <w:szCs w:val="24"/>
        </w:rPr>
        <w:t>Adequate</w:t>
      </w:r>
      <w:r w:rsidR="00902611" w:rsidRPr="00902994">
        <w:rPr>
          <w:rFonts w:cs="Arial"/>
          <w:b/>
          <w:color w:val="0000FF"/>
          <w:szCs w:val="24"/>
        </w:rPr>
        <w:t xml:space="preserve"> EU investment in biomedical research </w:t>
      </w:r>
      <w:r w:rsidR="00902611" w:rsidRPr="00FA6FBC">
        <w:rPr>
          <w:rFonts w:cs="Arial"/>
          <w:color w:val="0000FF"/>
          <w:szCs w:val="24"/>
        </w:rPr>
        <w:t>should be secured in the future 9</w:t>
      </w:r>
      <w:r w:rsidR="00902611" w:rsidRPr="00902994">
        <w:rPr>
          <w:rFonts w:cs="Arial"/>
          <w:color w:val="0000FF"/>
          <w:szCs w:val="24"/>
          <w:vertAlign w:val="superscript"/>
        </w:rPr>
        <w:t>th</w:t>
      </w:r>
      <w:r w:rsidR="00902994">
        <w:rPr>
          <w:rFonts w:cs="Arial"/>
          <w:color w:val="0000FF"/>
          <w:szCs w:val="24"/>
        </w:rPr>
        <w:t xml:space="preserve"> </w:t>
      </w:r>
      <w:r w:rsidR="00902611" w:rsidRPr="00FA6FBC">
        <w:rPr>
          <w:rFonts w:cs="Arial"/>
          <w:color w:val="0000FF"/>
          <w:szCs w:val="24"/>
        </w:rPr>
        <w:t xml:space="preserve">Framework Programme under the Societal Challenges pillar. </w:t>
      </w:r>
    </w:p>
    <w:p w14:paraId="4D7E7C5C" w14:textId="4397650F" w:rsidR="004A4BFF" w:rsidRPr="00FA6FBC" w:rsidRDefault="004A4BFF" w:rsidP="004A4BFF">
      <w:pPr>
        <w:pStyle w:val="ListParagraph1"/>
        <w:numPr>
          <w:ilvl w:val="0"/>
          <w:numId w:val="13"/>
        </w:numPr>
        <w:spacing w:after="120" w:line="252" w:lineRule="auto"/>
        <w:ind w:left="357" w:hanging="357"/>
        <w:contextualSpacing w:val="0"/>
        <w:jc w:val="both"/>
        <w:rPr>
          <w:rFonts w:cs="Arial"/>
          <w:color w:val="0000FF"/>
          <w:szCs w:val="24"/>
        </w:rPr>
      </w:pPr>
      <w:r w:rsidRPr="00902994">
        <w:rPr>
          <w:rFonts w:cs="Arial"/>
          <w:b/>
          <w:color w:val="0000FF"/>
          <w:szCs w:val="24"/>
        </w:rPr>
        <w:t>EU public funding for research</w:t>
      </w:r>
      <w:r w:rsidR="00902994">
        <w:rPr>
          <w:rFonts w:cs="Arial"/>
          <w:color w:val="0000FF"/>
          <w:szCs w:val="24"/>
        </w:rPr>
        <w:t xml:space="preserve"> (Horizon 2020 and its successor;</w:t>
      </w:r>
      <w:r w:rsidRPr="00FA6FBC">
        <w:rPr>
          <w:rFonts w:cs="Arial"/>
          <w:color w:val="0000FF"/>
          <w:szCs w:val="24"/>
        </w:rPr>
        <w:t xml:space="preserve"> IMI) should focus on patients’ unmet needs, and should build in a </w:t>
      </w:r>
      <w:r w:rsidRPr="00902994">
        <w:rPr>
          <w:rFonts w:cs="Arial"/>
          <w:b/>
          <w:color w:val="0000FF"/>
          <w:szCs w:val="24"/>
        </w:rPr>
        <w:t>return on the public investment</w:t>
      </w:r>
      <w:r w:rsidRPr="00FA6FBC">
        <w:rPr>
          <w:rFonts w:cs="Arial"/>
          <w:color w:val="0000FF"/>
          <w:szCs w:val="24"/>
        </w:rPr>
        <w:t xml:space="preserve"> with conditions such as affordable and equitable access, non-exclusive licencing and open access publication of results. Open data requirements should be strengthened and incentivised.</w:t>
      </w:r>
    </w:p>
    <w:p w14:paraId="595D6AB3" w14:textId="4C976E41" w:rsidR="001A2BC9" w:rsidRPr="00FA6FBC" w:rsidRDefault="004A4BFF" w:rsidP="00132F49">
      <w:pPr>
        <w:pStyle w:val="ListParagraph1"/>
        <w:numPr>
          <w:ilvl w:val="0"/>
          <w:numId w:val="13"/>
        </w:numPr>
        <w:spacing w:after="120" w:line="252" w:lineRule="auto"/>
        <w:ind w:left="357" w:hanging="357"/>
        <w:contextualSpacing w:val="0"/>
        <w:jc w:val="both"/>
        <w:rPr>
          <w:color w:val="0000FF"/>
          <w:szCs w:val="24"/>
        </w:rPr>
      </w:pPr>
      <w:r w:rsidRPr="00902994">
        <w:rPr>
          <w:rFonts w:cs="Arial"/>
          <w:b/>
          <w:color w:val="0000FF"/>
          <w:szCs w:val="24"/>
        </w:rPr>
        <w:t>Transparency of the entire system</w:t>
      </w:r>
      <w:r w:rsidRPr="00FA6FBC">
        <w:rPr>
          <w:rFonts w:cs="Arial"/>
          <w:color w:val="0000FF"/>
          <w:szCs w:val="24"/>
        </w:rPr>
        <w:t xml:space="preserve"> must be improved, including transparency of research, registration and publication of all clinical trials, and transparency of financial and other links between the industry and public institutions, healthcare professionals, academic researchers and non-governmental organisations. </w:t>
      </w:r>
    </w:p>
    <w:p w14:paraId="182E0EE8" w14:textId="77777777" w:rsidR="00C00F0E" w:rsidRDefault="00C00F0E" w:rsidP="00E85E40">
      <w:pPr>
        <w:spacing w:after="120"/>
        <w:rPr>
          <w:b/>
          <w:color w:val="00B050"/>
        </w:rPr>
      </w:pPr>
    </w:p>
    <w:p w14:paraId="757FF5FB" w14:textId="38CD5CEE" w:rsidR="004A4BFF" w:rsidRPr="00FA54E1" w:rsidRDefault="00103D7F" w:rsidP="00FA54E1">
      <w:pPr>
        <w:spacing w:after="240" w:line="276" w:lineRule="auto"/>
        <w:jc w:val="both"/>
        <w:rPr>
          <w:rStyle w:val="Heading1Char"/>
          <w:rFonts w:ascii="Calibri" w:hAnsi="Calibri"/>
          <w:bCs w:val="0"/>
          <w:color w:val="FC0107"/>
          <w:sz w:val="22"/>
          <w:szCs w:val="22"/>
          <w:shd w:val="clear" w:color="auto" w:fill="auto"/>
        </w:rPr>
      </w:pPr>
      <w:r w:rsidRPr="00103D7F">
        <w:rPr>
          <w:b/>
          <w:color w:val="FC0107"/>
        </w:rPr>
        <w:t xml:space="preserve">Questions to members: Do you agree with </w:t>
      </w:r>
      <w:r>
        <w:rPr>
          <w:b/>
          <w:color w:val="FC0107"/>
        </w:rPr>
        <w:t>the recommendations</w:t>
      </w:r>
      <w:r w:rsidRPr="00103D7F">
        <w:rPr>
          <w:b/>
          <w:color w:val="FC0107"/>
        </w:rPr>
        <w:t>? If not, please explain why and provide alternative</w:t>
      </w:r>
      <w:r>
        <w:rPr>
          <w:b/>
          <w:color w:val="FC0107"/>
        </w:rPr>
        <w:t xml:space="preserve"> if appropriate</w:t>
      </w:r>
      <w:r w:rsidRPr="00103D7F">
        <w:rPr>
          <w:b/>
          <w:color w:val="FC0107"/>
        </w:rPr>
        <w:t xml:space="preserve">. Please feel free to </w:t>
      </w:r>
      <w:r>
        <w:rPr>
          <w:b/>
          <w:color w:val="FC0107"/>
        </w:rPr>
        <w:t>suggest additional (sub-)recommendations, bearing in mind the final number should not be too large, ideally max. 10</w:t>
      </w:r>
      <w:r w:rsidRPr="00103D7F">
        <w:rPr>
          <w:b/>
          <w:color w:val="FC0107"/>
        </w:rPr>
        <w:t xml:space="preserve">. </w:t>
      </w:r>
      <w:bookmarkStart w:id="21" w:name="_GoBack"/>
      <w:bookmarkEnd w:id="21"/>
    </w:p>
    <w:p w14:paraId="772B7B66" w14:textId="729266D5" w:rsidR="00421B64" w:rsidRPr="0038165E" w:rsidRDefault="00B902D0" w:rsidP="0038165E">
      <w:pPr>
        <w:spacing w:after="120" w:line="240" w:lineRule="auto"/>
        <w:rPr>
          <w:rStyle w:val="Heading1Char"/>
          <w:sz w:val="44"/>
          <w:shd w:val="clear" w:color="auto" w:fill="auto"/>
        </w:rPr>
      </w:pPr>
      <w:bookmarkStart w:id="22" w:name="_Toc511039293"/>
      <w:r w:rsidRPr="00E832C3">
        <w:rPr>
          <w:rStyle w:val="Heading1Char"/>
          <w:sz w:val="44"/>
          <w:shd w:val="clear" w:color="auto" w:fill="auto"/>
        </w:rPr>
        <w:lastRenderedPageBreak/>
        <w:t>Notes and References</w:t>
      </w:r>
      <w:bookmarkEnd w:id="22"/>
    </w:p>
    <w:sectPr w:rsidR="00421B64" w:rsidRPr="0038165E" w:rsidSect="00421B64">
      <w:footerReference w:type="default" r:id="rId10"/>
      <w:footerReference w:type="first" r:id="rId11"/>
      <w:footnotePr>
        <w:numFmt w:val="lowerRoman"/>
      </w:footnotePr>
      <w:endnotePr>
        <w:numFmt w:val="decimal"/>
      </w:endnotePr>
      <w:pgSz w:w="11906" w:h="16838"/>
      <w:pgMar w:top="2098" w:right="1440" w:bottom="1440" w:left="1440" w:header="708" w:footer="7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BE015" w14:textId="77777777" w:rsidR="00AF2677" w:rsidRDefault="00AF2677" w:rsidP="00421B64">
      <w:pPr>
        <w:spacing w:after="0" w:line="240" w:lineRule="auto"/>
      </w:pPr>
      <w:r>
        <w:separator/>
      </w:r>
    </w:p>
  </w:endnote>
  <w:endnote w:type="continuationSeparator" w:id="0">
    <w:p w14:paraId="49197DF5" w14:textId="77777777" w:rsidR="00AF2677" w:rsidRDefault="00AF2677" w:rsidP="00421B64">
      <w:pPr>
        <w:spacing w:after="0" w:line="240" w:lineRule="auto"/>
      </w:pPr>
      <w:r>
        <w:continuationSeparator/>
      </w:r>
    </w:p>
  </w:endnote>
  <w:endnote w:id="1">
    <w:p w14:paraId="738BAD5B" w14:textId="77777777" w:rsidR="00FE4157" w:rsidRDefault="00FE4157">
      <w:pPr>
        <w:pStyle w:val="EndnoteText"/>
        <w:spacing w:after="60"/>
        <w:rPr>
          <w:szCs w:val="22"/>
        </w:rPr>
      </w:pPr>
      <w:r>
        <w:rPr>
          <w:rStyle w:val="EndnoteReference"/>
          <w:szCs w:val="22"/>
        </w:rPr>
        <w:endnoteRef/>
      </w:r>
      <w:r>
        <w:rPr>
          <w:szCs w:val="22"/>
        </w:rPr>
        <w:t xml:space="preserve"> Adapted from EPF position paper "Defining and Measuring Access to Healthcare: the Patients’ Perspective," March 2016. Available at </w:t>
      </w:r>
      <w:hyperlink r:id="rId1" w:history="1">
        <w:r>
          <w:rPr>
            <w:rStyle w:val="Hyperlink"/>
            <w:szCs w:val="22"/>
          </w:rPr>
          <w:t>www.eu-patient.eu/whatwedo/Policy/access-to-healthcare/</w:t>
        </w:r>
      </w:hyperlink>
      <w:r>
        <w:rPr>
          <w:szCs w:val="22"/>
        </w:rPr>
        <w:t xml:space="preserve">  </w:t>
      </w:r>
      <w:r>
        <w:rPr>
          <w:color w:val="FF0000"/>
          <w:szCs w:val="22"/>
        </w:rPr>
        <w:t xml:space="preserve"> </w:t>
      </w:r>
    </w:p>
  </w:endnote>
  <w:endnote w:id="2">
    <w:p w14:paraId="6991E4CE" w14:textId="77777777" w:rsidR="00FE4157" w:rsidRDefault="00FE4157" w:rsidP="00A106BB">
      <w:pPr>
        <w:pStyle w:val="EndnoteText"/>
        <w:spacing w:after="60"/>
        <w:rPr>
          <w:rFonts w:cs="Calibri"/>
          <w:szCs w:val="22"/>
        </w:rPr>
      </w:pPr>
      <w:r>
        <w:rPr>
          <w:rStyle w:val="EndnoteReference"/>
          <w:rFonts w:cs="Calibri"/>
          <w:szCs w:val="22"/>
        </w:rPr>
        <w:endnoteRef/>
      </w:r>
      <w:r>
        <w:rPr>
          <w:rFonts w:cs="Calibri"/>
          <w:szCs w:val="22"/>
        </w:rPr>
        <w:t xml:space="preserve"> Communication from the Commission to the European Parliament, the Council, the European Economic and Social</w:t>
      </w:r>
    </w:p>
    <w:p w14:paraId="1D0399DD" w14:textId="77777777" w:rsidR="00FE4157" w:rsidRDefault="00FE4157" w:rsidP="00A106BB">
      <w:pPr>
        <w:pStyle w:val="EndnoteText"/>
        <w:spacing w:after="60"/>
        <w:rPr>
          <w:rFonts w:cs="Calibri"/>
          <w:szCs w:val="22"/>
        </w:rPr>
      </w:pPr>
      <w:r>
        <w:rPr>
          <w:rFonts w:cs="Calibri"/>
          <w:szCs w:val="22"/>
        </w:rPr>
        <w:t xml:space="preserve">Committee and the Committee of the Regions. “Solidarity in health: Reducing health inequalities in the EU”. Brussels, 20.10.2009. COM(2009) 567 final. </w:t>
      </w:r>
    </w:p>
  </w:endnote>
  <w:endnote w:id="3">
    <w:p w14:paraId="2E3283C2" w14:textId="77777777" w:rsidR="00FE4157" w:rsidRDefault="00FE4157" w:rsidP="00A106BB">
      <w:pPr>
        <w:pStyle w:val="EndnoteText"/>
        <w:spacing w:after="60"/>
        <w:rPr>
          <w:rFonts w:cs="Calibri"/>
          <w:szCs w:val="22"/>
        </w:rPr>
      </w:pPr>
      <w:r>
        <w:rPr>
          <w:rStyle w:val="EndnoteReference"/>
          <w:rFonts w:cs="Calibri"/>
          <w:szCs w:val="22"/>
        </w:rPr>
        <w:endnoteRef/>
      </w:r>
      <w:r>
        <w:rPr>
          <w:rFonts w:cs="Calibri"/>
          <w:szCs w:val="22"/>
        </w:rPr>
        <w:t xml:space="preserve">  See EPF’s position statements on health inequalities, available at our website: </w:t>
      </w:r>
      <w:hyperlink r:id="rId2" w:history="1">
        <w:r>
          <w:rPr>
            <w:rStyle w:val="Hyperlink"/>
            <w:rFonts w:cs="Calibri"/>
            <w:szCs w:val="22"/>
          </w:rPr>
          <w:t>www.eu-patient.eu/Initatives-Policy/Policy/Health-inequalities/</w:t>
        </w:r>
      </w:hyperlink>
      <w:r>
        <w:rPr>
          <w:rFonts w:cs="Calibri"/>
          <w:szCs w:val="22"/>
        </w:rPr>
        <w:t xml:space="preserve">     </w:t>
      </w:r>
    </w:p>
  </w:endnote>
  <w:endnote w:id="4">
    <w:p w14:paraId="62F58676" w14:textId="77777777" w:rsidR="00FE4157" w:rsidRDefault="00FE4157" w:rsidP="00A106BB">
      <w:pPr>
        <w:pStyle w:val="EndnoteText"/>
        <w:spacing w:after="60"/>
        <w:rPr>
          <w:rFonts w:cs="Calibri"/>
          <w:szCs w:val="22"/>
        </w:rPr>
      </w:pPr>
      <w:r>
        <w:rPr>
          <w:rStyle w:val="EndnoteReference"/>
          <w:rFonts w:cs="Calibri"/>
          <w:szCs w:val="22"/>
        </w:rPr>
        <w:endnoteRef/>
      </w:r>
      <w:r>
        <w:rPr>
          <w:rFonts w:cs="Calibri"/>
          <w:szCs w:val="22"/>
        </w:rPr>
        <w:t xml:space="preserve"> European Parliament resolution of 8 March 2011 on reducing health inequalities in the</w:t>
      </w:r>
    </w:p>
    <w:p w14:paraId="003446AC" w14:textId="77777777" w:rsidR="00FE4157" w:rsidRDefault="00FE4157" w:rsidP="00A106BB">
      <w:pPr>
        <w:pStyle w:val="EndnoteText"/>
        <w:spacing w:after="60"/>
        <w:rPr>
          <w:rFonts w:cs="Calibri"/>
          <w:szCs w:val="22"/>
        </w:rPr>
      </w:pPr>
      <w:r>
        <w:rPr>
          <w:rFonts w:cs="Calibri"/>
          <w:szCs w:val="22"/>
        </w:rPr>
        <w:t xml:space="preserve">EU (2010/2089(INI)) </w:t>
      </w:r>
    </w:p>
  </w:endnote>
  <w:endnote w:id="5">
    <w:p w14:paraId="17252CAF" w14:textId="77777777" w:rsidR="00FE4157" w:rsidRDefault="00FE4157" w:rsidP="005219F7">
      <w:pPr>
        <w:pStyle w:val="EndnoteText"/>
        <w:spacing w:after="60"/>
        <w:rPr>
          <w:rFonts w:cs="Calibri"/>
          <w:szCs w:val="22"/>
        </w:rPr>
      </w:pPr>
      <w:r>
        <w:rPr>
          <w:rStyle w:val="EndnoteReference"/>
          <w:rFonts w:cs="Calibri"/>
          <w:szCs w:val="22"/>
        </w:rPr>
        <w:endnoteRef/>
      </w:r>
      <w:r>
        <w:rPr>
          <w:rFonts w:cs="Calibri"/>
          <w:szCs w:val="22"/>
        </w:rPr>
        <w:t xml:space="preserve"> Article 3, Treaty on European Union </w:t>
      </w:r>
    </w:p>
  </w:endnote>
  <w:endnote w:id="6">
    <w:p w14:paraId="082FEAED" w14:textId="77777777" w:rsidR="00FE4157" w:rsidRDefault="00FE4157" w:rsidP="005219F7">
      <w:pPr>
        <w:pStyle w:val="EndnoteText"/>
        <w:spacing w:after="60"/>
        <w:rPr>
          <w:rFonts w:cs="Calibri"/>
          <w:szCs w:val="22"/>
        </w:rPr>
      </w:pPr>
      <w:r>
        <w:rPr>
          <w:rStyle w:val="EndnoteReference"/>
          <w:rFonts w:cs="Calibri"/>
          <w:szCs w:val="22"/>
        </w:rPr>
        <w:endnoteRef/>
      </w:r>
      <w:r>
        <w:rPr>
          <w:rFonts w:cs="Calibri"/>
          <w:szCs w:val="22"/>
        </w:rPr>
        <w:t xml:space="preserve"> Council Conclusions on Common values and principles in European Union Health Systems (2006/C 146/01)</w:t>
      </w:r>
    </w:p>
  </w:endnote>
  <w:endnote w:id="7">
    <w:p w14:paraId="63E5F35C" w14:textId="2ADA2B64" w:rsidR="00FE4157" w:rsidRDefault="00FE4157">
      <w:pPr>
        <w:pStyle w:val="EndnoteText"/>
      </w:pPr>
      <w:r>
        <w:rPr>
          <w:rStyle w:val="EndnoteReference"/>
        </w:rPr>
        <w:endnoteRef/>
      </w:r>
      <w:r>
        <w:t xml:space="preserve"> </w:t>
      </w:r>
      <w:hyperlink r:id="rId3" w:history="1">
        <w:r w:rsidRPr="00CD7889">
          <w:rPr>
            <w:rStyle w:val="Hyperlink"/>
          </w:rPr>
          <w:t>http://www.who.int/sdg/targets/en/</w:t>
        </w:r>
      </w:hyperlink>
      <w:r>
        <w:t xml:space="preserve"> </w:t>
      </w:r>
    </w:p>
  </w:endnote>
  <w:endnote w:id="8">
    <w:p w14:paraId="1F23F51E" w14:textId="77777777" w:rsidR="00FE4157" w:rsidRDefault="00FE4157" w:rsidP="00254B45">
      <w:pPr>
        <w:pStyle w:val="EndnoteText"/>
        <w:spacing w:after="60"/>
        <w:rPr>
          <w:szCs w:val="22"/>
        </w:rPr>
      </w:pPr>
      <w:r>
        <w:rPr>
          <w:rStyle w:val="EndnoteReference"/>
          <w:szCs w:val="22"/>
        </w:rPr>
        <w:endnoteRef/>
      </w:r>
      <w:r>
        <w:rPr>
          <w:szCs w:val="22"/>
        </w:rPr>
        <w:t xml:space="preserve"> See e.g., IMS Institute (2015) “The Role of Generic Medicines in Sustaining Healthcare Systems: A European Perspective.” </w:t>
      </w:r>
    </w:p>
  </w:endnote>
  <w:endnote w:id="9">
    <w:p w14:paraId="5F6DA8D1" w14:textId="77777777" w:rsidR="00FE4157" w:rsidRDefault="00FE4157" w:rsidP="00870034">
      <w:pPr>
        <w:pStyle w:val="EndnoteText"/>
        <w:spacing w:after="60"/>
        <w:rPr>
          <w:szCs w:val="22"/>
        </w:rPr>
      </w:pPr>
      <w:r>
        <w:rPr>
          <w:rStyle w:val="EndnoteReference"/>
          <w:szCs w:val="22"/>
        </w:rPr>
        <w:endnoteRef/>
      </w:r>
      <w:r>
        <w:rPr>
          <w:szCs w:val="22"/>
        </w:rPr>
        <w:t xml:space="preserve"> “Shaping Europe’s Vision for Personalised Medicine. Strategic Research and Innovation Agenda (SRIA)”. Coordination &amp; Support Action (CSA) </w:t>
      </w:r>
      <w:proofErr w:type="spellStart"/>
      <w:r>
        <w:rPr>
          <w:szCs w:val="22"/>
        </w:rPr>
        <w:t>PerMed</w:t>
      </w:r>
      <w:proofErr w:type="spellEnd"/>
      <w:r>
        <w:rPr>
          <w:szCs w:val="22"/>
        </w:rPr>
        <w:t xml:space="preserve">, June 2015. Available at </w:t>
      </w:r>
      <w:hyperlink r:id="rId4" w:history="1">
        <w:r>
          <w:rPr>
            <w:rStyle w:val="Hyperlink"/>
            <w:szCs w:val="22"/>
          </w:rPr>
          <w:t>www.permed2020.eu</w:t>
        </w:r>
      </w:hyperlink>
      <w:r>
        <w:rPr>
          <w:szCs w:val="22"/>
        </w:rPr>
        <w:t xml:space="preserve"> </w:t>
      </w:r>
    </w:p>
  </w:endnote>
  <w:endnote w:id="10">
    <w:p w14:paraId="6EA9A83B" w14:textId="6A3B03FB" w:rsidR="00FE4157" w:rsidRDefault="00FE4157">
      <w:pPr>
        <w:pStyle w:val="EndnoteText"/>
      </w:pPr>
      <w:r>
        <w:rPr>
          <w:rStyle w:val="EndnoteReference"/>
        </w:rPr>
        <w:endnoteRef/>
      </w:r>
      <w:r>
        <w:t xml:space="preserve"> </w:t>
      </w:r>
      <w:hyperlink r:id="rId5" w:history="1">
        <w:r w:rsidRPr="00AD0E2A">
          <w:rPr>
            <w:rStyle w:val="Hyperlink"/>
          </w:rPr>
          <w:t>https://www.washingtonpost.com/news/wonk/wp/2018/01/03/gene-therapy-for-inherited-blindness-sets-precedent-an-850000-price-tag/?utm_term=.a41624b7dc25</w:t>
        </w:r>
      </w:hyperlink>
      <w:r>
        <w:t xml:space="preserve"> </w:t>
      </w:r>
    </w:p>
  </w:endnote>
  <w:endnote w:id="11">
    <w:p w14:paraId="41AED1E6" w14:textId="77777777" w:rsidR="00FE4157" w:rsidRDefault="00FE4157" w:rsidP="00FB4CC9">
      <w:pPr>
        <w:pStyle w:val="EndnoteText"/>
      </w:pPr>
      <w:r>
        <w:rPr>
          <w:rStyle w:val="EndnoteReference"/>
        </w:rPr>
        <w:endnoteRef/>
      </w:r>
      <w:r>
        <w:t xml:space="preserve"> OECD report available online only: </w:t>
      </w:r>
      <w:hyperlink r:id="rId6" w:history="1">
        <w:r w:rsidRPr="001C4F38">
          <w:rPr>
            <w:rStyle w:val="Hyperlink"/>
          </w:rPr>
          <w:t>http://www.oecd.org/publications/managing-new-technologies-in-health-care-9789264266438-en.htm</w:t>
        </w:r>
      </w:hyperlink>
      <w:r>
        <w:t xml:space="preserve"> </w:t>
      </w:r>
    </w:p>
  </w:endnote>
  <w:endnote w:id="12">
    <w:p w14:paraId="3696B4E9" w14:textId="595C2345" w:rsidR="00FE4157" w:rsidRDefault="00FE4157">
      <w:pPr>
        <w:pStyle w:val="EndnoteText"/>
      </w:pPr>
      <w:r>
        <w:rPr>
          <w:rStyle w:val="EndnoteReference"/>
        </w:rPr>
        <w:endnoteRef/>
      </w:r>
      <w:r>
        <w:t xml:space="preserve"> </w:t>
      </w:r>
      <w:hyperlink r:id="rId7" w:history="1">
        <w:r w:rsidRPr="00AD0E2A">
          <w:rPr>
            <w:rStyle w:val="Hyperlink"/>
          </w:rPr>
          <w:t>https://www.reuters.com/article/us-mylan-nl-epipen-congress/u-s-lawmakers-blast-mylan-ceo-over-sickening-epipen-price-hikes-idUSKCN11R2OG</w:t>
        </w:r>
      </w:hyperlink>
      <w:r>
        <w:t xml:space="preserve"> </w:t>
      </w:r>
    </w:p>
  </w:endnote>
  <w:endnote w:id="13">
    <w:p w14:paraId="2C39DEBD" w14:textId="77777777" w:rsidR="00FE4157" w:rsidRDefault="00FE4157" w:rsidP="004875C1">
      <w:pPr>
        <w:pStyle w:val="EndnoteText"/>
      </w:pPr>
      <w:r>
        <w:rPr>
          <w:rStyle w:val="EndnoteReference"/>
        </w:rPr>
        <w:endnoteRef/>
      </w:r>
      <w:r>
        <w:t xml:space="preserve"> </w:t>
      </w:r>
      <w:hyperlink r:id="rId8" w:history="1">
        <w:r w:rsidRPr="00AD0E2A">
          <w:rPr>
            <w:rStyle w:val="Hyperlink"/>
          </w:rPr>
          <w:t>http://www.unsgaccessmeds.org/new-page/</w:t>
        </w:r>
      </w:hyperlink>
      <w:r>
        <w:t xml:space="preserve"> </w:t>
      </w:r>
    </w:p>
  </w:endnote>
  <w:endnote w:id="14">
    <w:p w14:paraId="4322C46A" w14:textId="77777777" w:rsidR="00FE4157" w:rsidRDefault="00FE4157" w:rsidP="004875C1">
      <w:pPr>
        <w:pStyle w:val="EndnoteText"/>
      </w:pPr>
      <w:r>
        <w:rPr>
          <w:rStyle w:val="EndnoteReference"/>
        </w:rPr>
        <w:endnoteRef/>
      </w:r>
      <w:r>
        <w:t xml:space="preserve"> Report available at </w:t>
      </w:r>
      <w:hyperlink r:id="rId9" w:history="1">
        <w:r w:rsidRPr="00CD7889">
          <w:rPr>
            <w:rStyle w:val="Hyperlink"/>
          </w:rPr>
          <w:t>http://www.unsgaccessmeds.org/final-report/</w:t>
        </w:r>
      </w:hyperlink>
      <w:r>
        <w:t xml:space="preserve"> </w:t>
      </w:r>
    </w:p>
  </w:endnote>
  <w:endnote w:id="15">
    <w:p w14:paraId="2A48778A" w14:textId="08358BB8" w:rsidR="00FE4157" w:rsidRDefault="00FE4157" w:rsidP="00DC5F29">
      <w:pPr>
        <w:pStyle w:val="EndnoteText"/>
      </w:pPr>
      <w:r>
        <w:rPr>
          <w:rStyle w:val="EndnoteReference"/>
        </w:rPr>
        <w:endnoteRef/>
      </w:r>
      <w:r>
        <w:t xml:space="preserve"> “Addressing the global shortage of, and access to, medicines and vaccines”. Report by the Director-General. 12 January 2018. </w:t>
      </w:r>
      <w:hyperlink r:id="rId10" w:history="1">
        <w:r w:rsidRPr="00AD0E2A">
          <w:rPr>
            <w:rStyle w:val="Hyperlink"/>
          </w:rPr>
          <w:t>http://apps.who.int/gb/ebwha/pdf_files/EB142/B142_13-en.pdf</w:t>
        </w:r>
      </w:hyperlink>
      <w:r>
        <w:t xml:space="preserve"> </w:t>
      </w:r>
    </w:p>
  </w:endnote>
  <w:endnote w:id="16">
    <w:p w14:paraId="006FBFDC" w14:textId="502838C9" w:rsidR="00FE4157" w:rsidRDefault="00FE4157">
      <w:pPr>
        <w:pStyle w:val="EndnoteText"/>
      </w:pPr>
      <w:r>
        <w:rPr>
          <w:rStyle w:val="EndnoteReference"/>
        </w:rPr>
        <w:endnoteRef/>
      </w:r>
      <w:r>
        <w:t xml:space="preserve"> </w:t>
      </w:r>
      <w:hyperlink r:id="rId11" w:history="1">
        <w:r w:rsidRPr="00AD0E2A">
          <w:rPr>
            <w:rStyle w:val="Hyperlink"/>
          </w:rPr>
          <w:t>https://thewire.in/external-affairs/battle-access-medicines-vaccines-who</w:t>
        </w:r>
      </w:hyperlink>
      <w:r>
        <w:t xml:space="preserve"> </w:t>
      </w:r>
    </w:p>
  </w:endnote>
  <w:endnote w:id="17">
    <w:p w14:paraId="1CBE2454" w14:textId="1923024D" w:rsidR="00FE4157" w:rsidRDefault="00FE4157" w:rsidP="00E1527D">
      <w:pPr>
        <w:pStyle w:val="EndnoteText"/>
      </w:pPr>
      <w:r>
        <w:rPr>
          <w:rStyle w:val="EndnoteReference"/>
        </w:rPr>
        <w:endnoteRef/>
      </w:r>
      <w:r w:rsidRPr="00E1527D">
        <w:t xml:space="preserve"> </w:t>
      </w:r>
      <w:r>
        <w:t>Council Conclusions on Strengthening the Balance in the Pharmaceutical Systems in the European</w:t>
      </w:r>
    </w:p>
    <w:p w14:paraId="2B24C9C5" w14:textId="1AB7701F" w:rsidR="00FE4157" w:rsidRPr="00E1527D" w:rsidRDefault="00FE4157" w:rsidP="00E1527D">
      <w:pPr>
        <w:pStyle w:val="EndnoteText"/>
      </w:pPr>
      <w:r>
        <w:t xml:space="preserve">Union and its Member States (2016/C 269/06). </w:t>
      </w:r>
      <w:hyperlink r:id="rId12" w:history="1">
        <w:r w:rsidRPr="001C4F38">
          <w:rPr>
            <w:rStyle w:val="Hyperlink"/>
          </w:rPr>
          <w:t>https://eur-lex.europa.eu/legal-content/EN/TXT/PDF/?uri=CELEX:52016XG0723(03)&amp;</w:t>
        </w:r>
        <w:proofErr w:type="spellStart"/>
        <w:r w:rsidRPr="001C4F38">
          <w:rPr>
            <w:rStyle w:val="Hyperlink"/>
          </w:rPr>
          <w:t>qid</w:t>
        </w:r>
        <w:proofErr w:type="spellEnd"/>
        <w:r w:rsidRPr="001C4F38">
          <w:rPr>
            <w:rStyle w:val="Hyperlink"/>
          </w:rPr>
          <w:t>=1522063481153&amp;from=EN</w:t>
        </w:r>
      </w:hyperlink>
      <w:r>
        <w:t xml:space="preserve"> </w:t>
      </w:r>
    </w:p>
  </w:endnote>
  <w:endnote w:id="18">
    <w:p w14:paraId="77F7E0A1" w14:textId="77777777" w:rsidR="00FE4157" w:rsidRPr="002E2752" w:rsidRDefault="00FE4157" w:rsidP="00971AD4">
      <w:pPr>
        <w:pStyle w:val="EndnoteText"/>
      </w:pPr>
      <w:r>
        <w:rPr>
          <w:rStyle w:val="EndnoteReference"/>
        </w:rPr>
        <w:endnoteRef/>
      </w:r>
      <w:r w:rsidRPr="002E2752">
        <w:t xml:space="preserve"> </w:t>
      </w:r>
      <w:r>
        <w:t xml:space="preserve">Report </w:t>
      </w:r>
      <w:r w:rsidRPr="002E2752">
        <w:t xml:space="preserve">on EU </w:t>
      </w:r>
      <w:r>
        <w:t>O</w:t>
      </w:r>
      <w:r w:rsidRPr="002E2752">
        <w:t xml:space="preserve">ptions for </w:t>
      </w:r>
      <w:r>
        <w:t>I</w:t>
      </w:r>
      <w:r w:rsidRPr="002E2752">
        <w:t xml:space="preserve">mproving </w:t>
      </w:r>
      <w:r>
        <w:t>A</w:t>
      </w:r>
      <w:r w:rsidRPr="002E2752">
        <w:t xml:space="preserve">ccess to </w:t>
      </w:r>
      <w:r>
        <w:t>M</w:t>
      </w:r>
      <w:r w:rsidRPr="002E2752">
        <w:t>edicines</w:t>
      </w:r>
      <w:r>
        <w:t xml:space="preserve"> </w:t>
      </w:r>
      <w:r w:rsidRPr="002E2752">
        <w:t xml:space="preserve">(2016/2057(INI)), Soledad </w:t>
      </w:r>
      <w:proofErr w:type="spellStart"/>
      <w:r w:rsidRPr="002E2752">
        <w:t>Cabezon</w:t>
      </w:r>
      <w:proofErr w:type="spellEnd"/>
      <w:r w:rsidRPr="002E2752">
        <w:t xml:space="preserve"> Ruiz MEP rapport</w:t>
      </w:r>
      <w:r>
        <w:t>eur</w:t>
      </w:r>
      <w:r w:rsidRPr="002E2752">
        <w:t xml:space="preserve">, document 2016/2057(INI), </w:t>
      </w:r>
      <w:r>
        <w:t xml:space="preserve">adopted </w:t>
      </w:r>
      <w:r w:rsidRPr="002E2752">
        <w:t>14.2.2017</w:t>
      </w:r>
      <w:r>
        <w:t xml:space="preserve"> </w:t>
      </w:r>
      <w:hyperlink r:id="rId13" w:history="1">
        <w:r w:rsidRPr="001C4F38">
          <w:rPr>
            <w:rStyle w:val="Hyperlink"/>
          </w:rPr>
          <w:t>http://www.europarl.europa.eu/sides/getDoc.do?pubRef=-//EP//NONSGML+REPORT+A8-2017-0040+0+DOC+PDF+V0//EN</w:t>
        </w:r>
      </w:hyperlink>
      <w:r>
        <w:t xml:space="preserve"> </w:t>
      </w:r>
    </w:p>
  </w:endnote>
  <w:endnote w:id="19">
    <w:p w14:paraId="598450E3" w14:textId="349509F8" w:rsidR="00FE4157" w:rsidRDefault="00FE4157">
      <w:pPr>
        <w:pStyle w:val="EndnoteText"/>
        <w:spacing w:after="60"/>
        <w:rPr>
          <w:szCs w:val="22"/>
        </w:rPr>
      </w:pPr>
      <w:r>
        <w:rPr>
          <w:rStyle w:val="EndnoteReference"/>
          <w:szCs w:val="22"/>
        </w:rPr>
        <w:endnoteRef/>
      </w:r>
      <w:r>
        <w:rPr>
          <w:szCs w:val="22"/>
        </w:rPr>
        <w:t xml:space="preserve"> For definitions and descriptions of different pricing models, please see “Study on enhanced cross-country coordination in the area of pharmaceutical product pricing”, final report under contract number 2014 73 03 for the implementation of Framework Contract № EAHC/2013/Health/01 ‘Health economic reports – analysis and forecasting’ (Lot 2), available at  </w:t>
      </w:r>
      <w:hyperlink r:id="rId14" w:history="1">
        <w:r>
          <w:rPr>
            <w:rStyle w:val="Hyperlink"/>
            <w:szCs w:val="22"/>
          </w:rPr>
          <w:t>http://ec.europa.eu/health/systems_performance_assessment/docs/pharmaproductpricing_frep_en.pdf</w:t>
        </w:r>
      </w:hyperlink>
      <w:r>
        <w:rPr>
          <w:szCs w:val="22"/>
        </w:rPr>
        <w:t xml:space="preserve"> </w:t>
      </w:r>
      <w:r>
        <w:rPr>
          <w:rStyle w:val="Hyperlink"/>
          <w:szCs w:val="22"/>
        </w:rPr>
        <w:t xml:space="preserve"> </w:t>
      </w:r>
    </w:p>
  </w:endnote>
  <w:endnote w:id="20">
    <w:p w14:paraId="44200B00" w14:textId="77777777" w:rsidR="00FE4157" w:rsidRDefault="00FE4157">
      <w:pPr>
        <w:pStyle w:val="EndnoteText"/>
        <w:spacing w:after="60"/>
        <w:rPr>
          <w:szCs w:val="22"/>
        </w:rPr>
      </w:pPr>
      <w:r>
        <w:rPr>
          <w:rStyle w:val="EndnoteReference"/>
          <w:szCs w:val="22"/>
        </w:rPr>
        <w:endnoteRef/>
      </w:r>
      <w:r>
        <w:rPr>
          <w:szCs w:val="22"/>
        </w:rPr>
        <w:t xml:space="preserve"> EC study on pharmaceutical pricing. See reference 11.</w:t>
      </w:r>
      <w:r>
        <w:rPr>
          <w:i/>
          <w:szCs w:val="22"/>
        </w:rPr>
        <w:t xml:space="preserve"> </w:t>
      </w:r>
    </w:p>
  </w:endnote>
  <w:endnote w:id="21">
    <w:p w14:paraId="1C52E67A" w14:textId="77777777" w:rsidR="00FE4157" w:rsidRDefault="00FE4157">
      <w:pPr>
        <w:pStyle w:val="EndnoteText"/>
        <w:spacing w:after="60"/>
        <w:rPr>
          <w:szCs w:val="22"/>
        </w:rPr>
      </w:pPr>
      <w:r>
        <w:rPr>
          <w:rStyle w:val="EndnoteReference"/>
          <w:szCs w:val="22"/>
        </w:rPr>
        <w:endnoteRef/>
      </w:r>
      <w:r>
        <w:rPr>
          <w:szCs w:val="22"/>
        </w:rPr>
        <w:t xml:space="preserve"> “Improving Patient Access to Innovative Medicines the Framework in Which Differentiated Pricing May Offer a Solution”, EFPIA 2014 position paper. Available at </w:t>
      </w:r>
      <w:hyperlink r:id="rId15" w:history="1">
        <w:r>
          <w:rPr>
            <w:rStyle w:val="Hyperlink"/>
            <w:szCs w:val="22"/>
          </w:rPr>
          <w:t>www.efpia.eu/uploads/Modules/Documents/pac-280214-ai6-a1-differentiated-pricing-position-paper-final.pdf</w:t>
        </w:r>
      </w:hyperlink>
      <w:r>
        <w:rPr>
          <w:szCs w:val="22"/>
        </w:rPr>
        <w:t xml:space="preserve">   </w:t>
      </w:r>
    </w:p>
  </w:endnote>
  <w:endnote w:id="22">
    <w:p w14:paraId="3360AA3E" w14:textId="77777777" w:rsidR="00FE4157" w:rsidRDefault="00FE4157">
      <w:pPr>
        <w:pStyle w:val="EndnoteText"/>
        <w:spacing w:after="60"/>
        <w:rPr>
          <w:szCs w:val="22"/>
        </w:rPr>
      </w:pPr>
      <w:r>
        <w:rPr>
          <w:rStyle w:val="EndnoteReference"/>
          <w:szCs w:val="22"/>
        </w:rPr>
        <w:endnoteRef/>
      </w:r>
      <w:r>
        <w:rPr>
          <w:szCs w:val="22"/>
        </w:rPr>
        <w:t xml:space="preserve"> "Enhancing Value in European Health Systems. The Role of Outcomes Measurement”. Multi-stakeholder consensus document (2016). Available at </w:t>
      </w:r>
      <w:hyperlink r:id="rId16" w:history="1">
        <w:r>
          <w:rPr>
            <w:rStyle w:val="Hyperlink"/>
            <w:szCs w:val="22"/>
          </w:rPr>
          <w:t>www.eu-patient.eu/globalassets/policy/patientssafety/value-of-health-consensus-document.pdf</w:t>
        </w:r>
      </w:hyperlink>
      <w:r>
        <w:rPr>
          <w:szCs w:val="22"/>
        </w:rPr>
        <w:t xml:space="preserve"> </w:t>
      </w:r>
    </w:p>
  </w:endnote>
  <w:endnote w:id="23">
    <w:p w14:paraId="1E6FD0C9" w14:textId="77777777" w:rsidR="00FE4157" w:rsidRDefault="00FE4157">
      <w:pPr>
        <w:pStyle w:val="EndnoteText"/>
        <w:spacing w:after="60"/>
        <w:rPr>
          <w:szCs w:val="22"/>
        </w:rPr>
      </w:pPr>
      <w:r>
        <w:rPr>
          <w:rStyle w:val="EndnoteReference"/>
          <w:szCs w:val="22"/>
        </w:rPr>
        <w:endnoteRef/>
      </w:r>
      <w:r>
        <w:rPr>
          <w:szCs w:val="22"/>
        </w:rPr>
        <w:t xml:space="preserve"> Paris V and </w:t>
      </w:r>
      <w:proofErr w:type="spellStart"/>
      <w:r>
        <w:rPr>
          <w:szCs w:val="22"/>
        </w:rPr>
        <w:t>Belloni</w:t>
      </w:r>
      <w:proofErr w:type="spellEnd"/>
      <w:r>
        <w:rPr>
          <w:szCs w:val="22"/>
        </w:rPr>
        <w:t xml:space="preserve"> A (2013) “Value in pharmaceutical pricing”, OECD health working papers, No. 63, OECD Publishing, pp. 11-14.</w:t>
      </w:r>
    </w:p>
  </w:endnote>
  <w:endnote w:id="24">
    <w:p w14:paraId="42A974B4" w14:textId="77777777" w:rsidR="00FE4157" w:rsidRDefault="00FE4157">
      <w:pPr>
        <w:pStyle w:val="EndnoteText"/>
        <w:spacing w:after="60"/>
        <w:rPr>
          <w:szCs w:val="22"/>
        </w:rPr>
      </w:pPr>
      <w:r>
        <w:rPr>
          <w:rStyle w:val="EndnoteReference"/>
          <w:szCs w:val="22"/>
        </w:rPr>
        <w:endnoteRef/>
      </w:r>
      <w:r>
        <w:rPr>
          <w:szCs w:val="22"/>
        </w:rPr>
        <w:t xml:space="preserve"> EFPIA position paper, principle 1. See reference 13</w:t>
      </w:r>
      <w:r>
        <w:rPr>
          <w:color w:val="FF0000"/>
          <w:szCs w:val="22"/>
        </w:rPr>
        <w:t xml:space="preserve">. </w:t>
      </w:r>
    </w:p>
  </w:endnote>
  <w:endnote w:id="25">
    <w:p w14:paraId="5F222905" w14:textId="77777777" w:rsidR="00FE4157" w:rsidRDefault="00FE4157">
      <w:pPr>
        <w:pStyle w:val="EndnoteText"/>
        <w:spacing w:after="60"/>
        <w:rPr>
          <w:szCs w:val="22"/>
        </w:rPr>
      </w:pPr>
      <w:r>
        <w:rPr>
          <w:rStyle w:val="EndnoteReference"/>
          <w:szCs w:val="22"/>
        </w:rPr>
        <w:endnoteRef/>
      </w:r>
      <w:r>
        <w:rPr>
          <w:szCs w:val="22"/>
        </w:rPr>
        <w:t xml:space="preserve"> EPF statement on the European Commission's proposal for a review of the Transparency Directive, November 2012. </w:t>
      </w:r>
    </w:p>
  </w:endnote>
  <w:endnote w:id="26">
    <w:p w14:paraId="754B400B" w14:textId="77777777" w:rsidR="00FE4157" w:rsidRDefault="00FE4157">
      <w:pPr>
        <w:pStyle w:val="EndnoteText"/>
        <w:spacing w:after="60"/>
        <w:rPr>
          <w:szCs w:val="22"/>
        </w:rPr>
      </w:pPr>
      <w:r>
        <w:rPr>
          <w:rStyle w:val="EndnoteReference"/>
          <w:szCs w:val="22"/>
        </w:rPr>
        <w:endnoteRef/>
      </w:r>
      <w:r>
        <w:rPr>
          <w:szCs w:val="22"/>
        </w:rPr>
        <w:t xml:space="preserve"> EPF’s comments on the European Medicines Agency Strategic Framework 2020. Available at </w:t>
      </w:r>
      <w:hyperlink r:id="rId17" w:history="1">
        <w:r>
          <w:rPr>
            <w:rStyle w:val="Hyperlink"/>
            <w:szCs w:val="22"/>
          </w:rPr>
          <w:t>www.ema.europa.eu/ema/index.jsp?curl=pages/about_us/general/general_content_000292.jsp&amp;mid=WC0b01ac05800293a4</w:t>
        </w:r>
      </w:hyperlink>
      <w:r>
        <w:rPr>
          <w:szCs w:val="22"/>
        </w:rPr>
        <w:t xml:space="preserve"> </w:t>
      </w:r>
    </w:p>
  </w:endnote>
  <w:endnote w:id="27">
    <w:p w14:paraId="0CBAF8FF" w14:textId="77777777" w:rsidR="00FE4157" w:rsidRDefault="00FE4157" w:rsidP="00D44171">
      <w:pPr>
        <w:pStyle w:val="EndnoteText"/>
        <w:spacing w:after="60"/>
        <w:rPr>
          <w:szCs w:val="22"/>
        </w:rPr>
      </w:pPr>
      <w:r>
        <w:rPr>
          <w:rStyle w:val="EndnoteReference"/>
          <w:szCs w:val="22"/>
        </w:rPr>
        <w:endnoteRef/>
      </w:r>
      <w:r>
        <w:rPr>
          <w:szCs w:val="22"/>
        </w:rPr>
        <w:t xml:space="preserve"> "Added Therapeutic Value: European citizens should get their money’s worth”. Joint position paper by WEMOS, EPHA, SOMA and ISDB. 2014. Available at </w:t>
      </w:r>
      <w:hyperlink r:id="rId18" w:history="1">
        <w:r>
          <w:rPr>
            <w:rStyle w:val="Hyperlink"/>
            <w:szCs w:val="22"/>
          </w:rPr>
          <w:t>www.wemos.nl/files/Documenten%20Informatief/Bestanden%20voor%20'Medicijnen'/Position%20paper%20ATV%20Wemos%20SOMO%20EPHA%20ISDS.pdf</w:t>
        </w:r>
      </w:hyperlink>
      <w:r>
        <w:rPr>
          <w:color w:val="FF0000"/>
          <w:szCs w:val="22"/>
        </w:rPr>
        <w:t xml:space="preserve"> </w:t>
      </w:r>
    </w:p>
  </w:endnote>
  <w:endnote w:id="28">
    <w:p w14:paraId="17D941CA" w14:textId="6B4FEFB0" w:rsidR="00FE4157" w:rsidRDefault="00FE4157">
      <w:pPr>
        <w:pStyle w:val="EndnoteText"/>
      </w:pPr>
      <w:r>
        <w:rPr>
          <w:rStyle w:val="EndnoteReference"/>
        </w:rPr>
        <w:endnoteRef/>
      </w:r>
      <w:r>
        <w:t xml:space="preserve"> </w:t>
      </w:r>
      <w:hyperlink r:id="rId19" w:history="1">
        <w:r w:rsidRPr="00AD0E2A">
          <w:rPr>
            <w:rStyle w:val="Hyperlink"/>
          </w:rPr>
          <w:t>https://www.bmj.com/content/359/bmj.j4528</w:t>
        </w:r>
      </w:hyperlink>
      <w:r>
        <w:t xml:space="preserve">  </w:t>
      </w:r>
    </w:p>
  </w:endnote>
  <w:endnote w:id="29">
    <w:p w14:paraId="495E686E" w14:textId="020FF91F" w:rsidR="00FE4157" w:rsidRDefault="00FE4157">
      <w:pPr>
        <w:pStyle w:val="EndnoteText"/>
      </w:pPr>
      <w:r>
        <w:rPr>
          <w:rStyle w:val="EndnoteReference"/>
        </w:rPr>
        <w:endnoteRef/>
      </w:r>
      <w:r>
        <w:t xml:space="preserve"> </w:t>
      </w:r>
      <w:hyperlink r:id="rId20" w:history="1">
        <w:r w:rsidRPr="00AD0E2A">
          <w:rPr>
            <w:rStyle w:val="Hyperlink"/>
          </w:rPr>
          <w:t>https://www.bmj.com/content/359/bmj.j4956</w:t>
        </w:r>
      </w:hyperlink>
      <w:r>
        <w:t xml:space="preserve">  </w:t>
      </w:r>
    </w:p>
  </w:endnote>
  <w:endnote w:id="30">
    <w:p w14:paraId="62E4EAD8" w14:textId="77777777" w:rsidR="00FE4157" w:rsidRDefault="00FE4157">
      <w:pPr>
        <w:pStyle w:val="EndnoteText"/>
        <w:spacing w:after="60"/>
        <w:rPr>
          <w:szCs w:val="22"/>
        </w:rPr>
      </w:pPr>
      <w:r>
        <w:rPr>
          <w:rStyle w:val="EndnoteReference"/>
          <w:szCs w:val="22"/>
        </w:rPr>
        <w:endnoteRef/>
      </w:r>
      <w:r>
        <w:rPr>
          <w:szCs w:val="22"/>
        </w:rPr>
        <w:t xml:space="preserve"> “Towards a Harmonised EU Assessment of The Added Therapeutic Value of Medicines”. Study for the ENVI committee. Directorate General for Internal Policies, Policy Department A: Economic and Scientific Policy, 2015, pp. 14-15. Available at </w:t>
      </w:r>
      <w:hyperlink r:id="rId21" w:history="1">
        <w:r>
          <w:rPr>
            <w:rStyle w:val="Hyperlink"/>
            <w:szCs w:val="22"/>
          </w:rPr>
          <w:t>www.europarl.europa.eu/RegData/etudes/STUD/2015/542219/IPOL_STU(2015)542219_EN.pdf</w:t>
        </w:r>
      </w:hyperlink>
      <w:r>
        <w:rPr>
          <w:szCs w:val="22"/>
        </w:rPr>
        <w:t xml:space="preserve"> </w:t>
      </w:r>
    </w:p>
  </w:endnote>
  <w:endnote w:id="31">
    <w:p w14:paraId="12734EB0" w14:textId="77777777" w:rsidR="00FE4157" w:rsidRDefault="00FE4157" w:rsidP="00D44171">
      <w:pPr>
        <w:pStyle w:val="EndnoteText"/>
        <w:spacing w:after="60"/>
        <w:rPr>
          <w:szCs w:val="22"/>
        </w:rPr>
      </w:pPr>
      <w:r>
        <w:rPr>
          <w:rStyle w:val="EndnoteReference"/>
          <w:szCs w:val="22"/>
        </w:rPr>
        <w:endnoteRef/>
      </w:r>
      <w:r>
        <w:rPr>
          <w:szCs w:val="22"/>
        </w:rPr>
        <w:t xml:space="preserve"> See for example: "New Medicines for Serious Conditions: How patients would weigh the risks and benefits,”</w:t>
      </w:r>
    </w:p>
    <w:p w14:paraId="6C9E6EA8" w14:textId="77777777" w:rsidR="00FE4157" w:rsidRDefault="00FE4157" w:rsidP="00D44171">
      <w:pPr>
        <w:pStyle w:val="EndnoteText"/>
        <w:spacing w:after="60"/>
        <w:rPr>
          <w:szCs w:val="22"/>
        </w:rPr>
      </w:pPr>
      <w:r>
        <w:rPr>
          <w:szCs w:val="22"/>
        </w:rPr>
        <w:t xml:space="preserve">Report of Findings from Phase 1 and 2. Genetic Alliance UK in partnership with the Welsh Institute for Health and Social Care, University of South Wales. April 2014. Available at </w:t>
      </w:r>
      <w:hyperlink r:id="rId22" w:history="1">
        <w:r>
          <w:rPr>
            <w:rStyle w:val="Hyperlink"/>
            <w:szCs w:val="22"/>
          </w:rPr>
          <w:t>www.geneticalliance.org.uk/docs/risks-and-benefits-2-report.pdf</w:t>
        </w:r>
      </w:hyperlink>
      <w:r>
        <w:rPr>
          <w:color w:val="FF0000"/>
          <w:szCs w:val="22"/>
        </w:rPr>
        <w:t xml:space="preserve"> </w:t>
      </w:r>
    </w:p>
  </w:endnote>
  <w:endnote w:id="32">
    <w:p w14:paraId="3BF3536B" w14:textId="77777777" w:rsidR="00FE4157" w:rsidRDefault="00FE4157">
      <w:pPr>
        <w:pStyle w:val="EndnoteText"/>
        <w:spacing w:after="60"/>
        <w:rPr>
          <w:szCs w:val="22"/>
        </w:rPr>
      </w:pPr>
      <w:r>
        <w:rPr>
          <w:rStyle w:val="EndnoteReference"/>
          <w:szCs w:val="22"/>
        </w:rPr>
        <w:endnoteRef/>
      </w:r>
      <w:r>
        <w:rPr>
          <w:szCs w:val="22"/>
        </w:rPr>
        <w:t xml:space="preserve"> EU HTA Network: “Strategy for EU Cooperation on Health Technology Assessment”, 2014, p. 8. Available at </w:t>
      </w:r>
      <w:hyperlink r:id="rId23" w:history="1">
        <w:r>
          <w:rPr>
            <w:rStyle w:val="Hyperlink"/>
            <w:szCs w:val="22"/>
          </w:rPr>
          <w:t>http://ec.europa.eu/health/technology_assessment/docs/2014_strategy_eucooperation_hta_en.pdf</w:t>
        </w:r>
      </w:hyperlink>
      <w:r>
        <w:rPr>
          <w:szCs w:val="22"/>
        </w:rPr>
        <w:t xml:space="preserve"> </w:t>
      </w:r>
    </w:p>
  </w:endnote>
  <w:endnote w:id="33">
    <w:p w14:paraId="00D40A2A" w14:textId="77777777" w:rsidR="00FE4157" w:rsidRDefault="00FE4157">
      <w:pPr>
        <w:pStyle w:val="EndnoteText"/>
        <w:spacing w:after="60"/>
        <w:rPr>
          <w:szCs w:val="22"/>
        </w:rPr>
      </w:pPr>
      <w:r>
        <w:rPr>
          <w:rStyle w:val="EndnoteReference"/>
          <w:szCs w:val="22"/>
        </w:rPr>
        <w:endnoteRef/>
      </w:r>
      <w:r>
        <w:rPr>
          <w:szCs w:val="22"/>
        </w:rPr>
        <w:t xml:space="preserve"> EPF survey: “Patient Involvement in Health Technology Assessment in Europe,” 2013. Available at </w:t>
      </w:r>
      <w:hyperlink r:id="rId24" w:history="1">
        <w:r>
          <w:rPr>
            <w:rStyle w:val="Hyperlink"/>
            <w:szCs w:val="22"/>
          </w:rPr>
          <w:t>www.eu-patient.eu/whatwedo/Initiatives/</w:t>
        </w:r>
      </w:hyperlink>
      <w:r>
        <w:rPr>
          <w:szCs w:val="22"/>
        </w:rPr>
        <w:t xml:space="preserve"> </w:t>
      </w:r>
    </w:p>
  </w:endnote>
  <w:endnote w:id="34">
    <w:p w14:paraId="20DCC3D2" w14:textId="4DD225EC" w:rsidR="00FE4157" w:rsidRDefault="00FE4157">
      <w:pPr>
        <w:pStyle w:val="EndnoteText"/>
      </w:pPr>
      <w:r>
        <w:rPr>
          <w:rStyle w:val="EndnoteReference"/>
        </w:rPr>
        <w:endnoteRef/>
      </w:r>
      <w:r>
        <w:t xml:space="preserve"> Project ADAPT-SMART: </w:t>
      </w:r>
      <w:hyperlink r:id="rId25" w:history="1">
        <w:r w:rsidRPr="00422AF8">
          <w:rPr>
            <w:rStyle w:val="Hyperlink"/>
          </w:rPr>
          <w:t>http://adaptsmart.eu/early-access-is-it-worth-it-2/</w:t>
        </w:r>
      </w:hyperlink>
      <w:r>
        <w:t xml:space="preserve"> </w:t>
      </w:r>
    </w:p>
  </w:endnote>
  <w:endnote w:id="35">
    <w:p w14:paraId="1062BDCC" w14:textId="77777777" w:rsidR="00FE4157" w:rsidRDefault="00FE4157" w:rsidP="003153A6">
      <w:pPr>
        <w:pStyle w:val="EndnoteText"/>
        <w:spacing w:after="60"/>
        <w:rPr>
          <w:szCs w:val="22"/>
        </w:rPr>
      </w:pPr>
      <w:r>
        <w:rPr>
          <w:rStyle w:val="EndnoteReference"/>
          <w:szCs w:val="22"/>
        </w:rPr>
        <w:endnoteRef/>
      </w:r>
      <w:r>
        <w:rPr>
          <w:szCs w:val="22"/>
        </w:rPr>
        <w:t xml:space="preserve"> </w:t>
      </w:r>
      <w:hyperlink r:id="rId26" w:history="1">
        <w:r>
          <w:rPr>
            <w:rStyle w:val="Hyperlink"/>
            <w:szCs w:val="22"/>
          </w:rPr>
          <w:t>http://ec.europa.eu/health/documents/pharmaceutical-committee/stamp/index_en.htm</w:t>
        </w:r>
      </w:hyperlink>
      <w:r>
        <w:rPr>
          <w:szCs w:val="22"/>
        </w:rPr>
        <w:t xml:space="preserve">  </w:t>
      </w:r>
    </w:p>
  </w:endnote>
  <w:endnote w:id="36">
    <w:p w14:paraId="798CB7E6" w14:textId="77777777" w:rsidR="00FE4157" w:rsidRDefault="00FE4157" w:rsidP="00596CE1">
      <w:pPr>
        <w:pStyle w:val="EndnoteText"/>
        <w:spacing w:after="60"/>
        <w:rPr>
          <w:szCs w:val="22"/>
        </w:rPr>
      </w:pPr>
      <w:r>
        <w:rPr>
          <w:rStyle w:val="EndnoteReference"/>
          <w:szCs w:val="22"/>
        </w:rPr>
        <w:endnoteRef/>
      </w:r>
      <w:r>
        <w:rPr>
          <w:szCs w:val="22"/>
        </w:rPr>
        <w:t xml:space="preserve"> </w:t>
      </w:r>
      <w:hyperlink r:id="rId27" w:history="1">
        <w:r>
          <w:rPr>
            <w:rStyle w:val="Hyperlink"/>
            <w:szCs w:val="22"/>
          </w:rPr>
          <w:t>http://adaptsmart.eu/</w:t>
        </w:r>
      </w:hyperlink>
      <w:r>
        <w:rPr>
          <w:szCs w:val="22"/>
        </w:rPr>
        <w:t xml:space="preserve"> </w:t>
      </w:r>
    </w:p>
  </w:endnote>
  <w:endnote w:id="37">
    <w:p w14:paraId="62265F9E" w14:textId="4C67310E" w:rsidR="00FE4157" w:rsidRDefault="00FE4157">
      <w:pPr>
        <w:pStyle w:val="EndnoteText"/>
      </w:pPr>
      <w:r>
        <w:rPr>
          <w:rStyle w:val="EndnoteReference"/>
        </w:rPr>
        <w:endnoteRef/>
      </w:r>
      <w:r>
        <w:t xml:space="preserve"> </w:t>
      </w:r>
      <w:r w:rsidRPr="00E43CA6">
        <w:t xml:space="preserve">Mechanism of Coordinated Access to Orphan Medicinal Products </w:t>
      </w:r>
      <w:r>
        <w:t>(</w:t>
      </w:r>
      <w:hyperlink r:id="rId28" w:history="1">
        <w:proofErr w:type="spellStart"/>
        <w:r w:rsidRPr="00E43CA6">
          <w:rPr>
            <w:rStyle w:val="Hyperlink"/>
          </w:rPr>
          <w:t>MoCA</w:t>
        </w:r>
        <w:proofErr w:type="spellEnd"/>
      </w:hyperlink>
      <w:r>
        <w:t xml:space="preserve">); </w:t>
      </w:r>
      <w:r w:rsidRPr="00E43CA6">
        <w:t>Scientific European Early Dialogue (</w:t>
      </w:r>
      <w:hyperlink r:id="rId29" w:history="1">
        <w:r w:rsidRPr="00E43CA6">
          <w:rPr>
            <w:rStyle w:val="Hyperlink"/>
          </w:rPr>
          <w:t>SEED</w:t>
        </w:r>
      </w:hyperlink>
      <w:r w:rsidRPr="00E43CA6">
        <w:t>)</w:t>
      </w:r>
    </w:p>
  </w:endnote>
  <w:endnote w:id="38">
    <w:p w14:paraId="7D41E7D9" w14:textId="77777777" w:rsidR="00FE4157" w:rsidRDefault="00FE4157" w:rsidP="008579D3">
      <w:pPr>
        <w:pStyle w:val="EndnoteText"/>
        <w:spacing w:after="60"/>
        <w:rPr>
          <w:szCs w:val="22"/>
        </w:rPr>
      </w:pPr>
      <w:r>
        <w:rPr>
          <w:rStyle w:val="EndnoteReference"/>
          <w:szCs w:val="22"/>
        </w:rPr>
        <w:endnoteRef/>
      </w:r>
      <w:r>
        <w:rPr>
          <w:szCs w:val="22"/>
        </w:rPr>
        <w:t xml:space="preserve"> For an overview of MEAs, see </w:t>
      </w:r>
      <w:proofErr w:type="spellStart"/>
      <w:r>
        <w:rPr>
          <w:szCs w:val="22"/>
        </w:rPr>
        <w:t>Ferrario</w:t>
      </w:r>
      <w:proofErr w:type="spellEnd"/>
      <w:r>
        <w:rPr>
          <w:szCs w:val="22"/>
        </w:rPr>
        <w:t xml:space="preserve">, A and Kanavos, P (2013) “Managed entry agreements for pharmaceuticals: the European experience.” </w:t>
      </w:r>
      <w:proofErr w:type="spellStart"/>
      <w:r>
        <w:rPr>
          <w:szCs w:val="22"/>
        </w:rPr>
        <w:t>EMiNet</w:t>
      </w:r>
      <w:proofErr w:type="spellEnd"/>
      <w:r>
        <w:rPr>
          <w:szCs w:val="22"/>
        </w:rPr>
        <w:t xml:space="preserve">, Brussels, Belgium. Available at </w:t>
      </w:r>
      <w:hyperlink r:id="rId30" w:history="1">
        <w:r>
          <w:rPr>
            <w:rStyle w:val="Hyperlink"/>
            <w:szCs w:val="22"/>
          </w:rPr>
          <w:t>http://eprints.lse.ac.uk/50513/1/__Libfile_repository_Content_Ferrario%2C%20A_Ferrario_Managed_%20entry_%20agreements_2013_Ferrario_Managed_%20entry_%20agreements_2013.pdf</w:t>
        </w:r>
      </w:hyperlink>
      <w:r>
        <w:rPr>
          <w:szCs w:val="22"/>
        </w:rPr>
        <w:t xml:space="preserve">   </w:t>
      </w:r>
    </w:p>
  </w:endnote>
  <w:endnote w:id="39">
    <w:p w14:paraId="75FCFD1E" w14:textId="77777777" w:rsidR="00FE4157" w:rsidRDefault="00FE4157" w:rsidP="009A7B53">
      <w:pPr>
        <w:pStyle w:val="EndnoteText"/>
        <w:spacing w:after="60"/>
        <w:rPr>
          <w:szCs w:val="22"/>
        </w:rPr>
      </w:pPr>
      <w:r>
        <w:rPr>
          <w:rStyle w:val="EndnoteReference"/>
          <w:szCs w:val="22"/>
        </w:rPr>
        <w:endnoteRef/>
      </w:r>
      <w:r>
        <w:rPr>
          <w:szCs w:val="22"/>
        </w:rPr>
        <w:t xml:space="preserve"> </w:t>
      </w:r>
      <w:hyperlink r:id="rId31" w:history="1">
        <w:r>
          <w:rPr>
            <w:rStyle w:val="Hyperlink"/>
            <w:szCs w:val="22"/>
          </w:rPr>
          <w:t>www.eu-patient.eu/globalassets/alliance-building/eurordis-epf-letter_call-on-payers_may2015.pdf</w:t>
        </w:r>
      </w:hyperlink>
      <w:r>
        <w:rPr>
          <w:szCs w:val="22"/>
        </w:rPr>
        <w:t xml:space="preserve"> </w:t>
      </w:r>
    </w:p>
  </w:endnote>
  <w:endnote w:id="40">
    <w:p w14:paraId="4E7FF5C8" w14:textId="59D0ADA9" w:rsidR="00FE4157" w:rsidRDefault="00FE4157">
      <w:pPr>
        <w:pStyle w:val="EndnoteText"/>
      </w:pPr>
      <w:r>
        <w:rPr>
          <w:rStyle w:val="EndnoteReference"/>
        </w:rPr>
        <w:endnoteRef/>
      </w:r>
      <w:r>
        <w:t xml:space="preserve"> </w:t>
      </w:r>
      <w:hyperlink r:id="rId32" w:history="1">
        <w:r w:rsidRPr="00AD0E2A">
          <w:rPr>
            <w:rStyle w:val="Hyperlink"/>
          </w:rPr>
          <w:t>https://www.rijksoverheid.nl/actueel/nieuws/2018/02/14/ierland-wil-zich-aansluiten-bij-geneesmiddelencoalitie-beneluxa</w:t>
        </w:r>
      </w:hyperlink>
      <w:r>
        <w:t xml:space="preserve"> </w:t>
      </w:r>
    </w:p>
  </w:endnote>
  <w:endnote w:id="41">
    <w:p w14:paraId="5E4E5D75" w14:textId="4B202451" w:rsidR="00FE4157" w:rsidRDefault="00FE4157">
      <w:pPr>
        <w:pStyle w:val="EndnoteText"/>
      </w:pPr>
      <w:r>
        <w:rPr>
          <w:rStyle w:val="EndnoteReference"/>
        </w:rPr>
        <w:endnoteRef/>
      </w:r>
      <w:r>
        <w:t xml:space="preserve"> “</w:t>
      </w:r>
      <w:r w:rsidRPr="00A36772">
        <w:t xml:space="preserve">Even facing Big </w:t>
      </w:r>
      <w:proofErr w:type="spellStart"/>
      <w:r w:rsidRPr="00A36772">
        <w:t>Pharma</w:t>
      </w:r>
      <w:proofErr w:type="spellEnd"/>
      <w:r w:rsidRPr="00A36772">
        <w:t xml:space="preserve"> together, countries still struggle to haggle</w:t>
      </w:r>
      <w:r>
        <w:t>”, Politico, 28.3.2018</w:t>
      </w:r>
    </w:p>
  </w:endnote>
  <w:endnote w:id="42">
    <w:p w14:paraId="13D2E855" w14:textId="77777777" w:rsidR="00FE4157" w:rsidRDefault="00FE4157">
      <w:pPr>
        <w:pStyle w:val="EndnoteText"/>
        <w:spacing w:after="60"/>
        <w:rPr>
          <w:szCs w:val="22"/>
        </w:rPr>
      </w:pPr>
      <w:r>
        <w:rPr>
          <w:rStyle w:val="EndnoteReference"/>
          <w:szCs w:val="22"/>
        </w:rPr>
        <w:endnoteRef/>
      </w:r>
      <w:r>
        <w:rPr>
          <w:szCs w:val="22"/>
        </w:rPr>
        <w:t xml:space="preserve"> Kaplan W et al., (2013) Priority Medicines for Europe and the World. 2013 update. World Health Organisation, Chapter 6.</w:t>
      </w:r>
    </w:p>
  </w:endnote>
  <w:endnote w:id="43">
    <w:p w14:paraId="1D27CF6F" w14:textId="77777777" w:rsidR="00FE4157" w:rsidRDefault="00FE4157">
      <w:pPr>
        <w:pStyle w:val="EndnoteText"/>
        <w:spacing w:after="60"/>
        <w:rPr>
          <w:szCs w:val="22"/>
        </w:rPr>
      </w:pPr>
      <w:r>
        <w:rPr>
          <w:rStyle w:val="EndnoteReference"/>
          <w:szCs w:val="22"/>
        </w:rPr>
        <w:endnoteRef/>
      </w:r>
      <w:r>
        <w:rPr>
          <w:szCs w:val="22"/>
        </w:rPr>
        <w:t xml:space="preserve"> Ibid., Chapter 8.1. </w:t>
      </w:r>
    </w:p>
  </w:endnote>
  <w:endnote w:id="44">
    <w:p w14:paraId="1B4DA4E7" w14:textId="77777777" w:rsidR="00FE4157" w:rsidRDefault="00FE4157">
      <w:pPr>
        <w:pStyle w:val="EndnoteText"/>
        <w:spacing w:after="60"/>
        <w:rPr>
          <w:szCs w:val="22"/>
        </w:rPr>
      </w:pPr>
      <w:r>
        <w:rPr>
          <w:rStyle w:val="EndnoteReference"/>
          <w:szCs w:val="22"/>
        </w:rPr>
        <w:endnoteRef/>
      </w:r>
      <w:r>
        <w:rPr>
          <w:szCs w:val="22"/>
        </w:rPr>
        <w:t xml:space="preserve"> For example the United Nations High – Level Panel on Access to Medicines. </w:t>
      </w:r>
      <w:hyperlink r:id="rId33" w:history="1">
        <w:r>
          <w:rPr>
            <w:rStyle w:val="Hyperlink"/>
            <w:szCs w:val="22"/>
          </w:rPr>
          <w:t>www.unsgaccessmeds.org</w:t>
        </w:r>
      </w:hyperlink>
      <w:r>
        <w:rPr>
          <w:szCs w:val="22"/>
        </w:rPr>
        <w:t xml:space="preserve"> </w:t>
      </w:r>
    </w:p>
  </w:endnote>
  <w:endnote w:id="45">
    <w:p w14:paraId="0CBBE1A7" w14:textId="77777777" w:rsidR="00FE4157" w:rsidRDefault="00FE4157">
      <w:pPr>
        <w:pStyle w:val="EndnoteText"/>
        <w:spacing w:after="60"/>
        <w:rPr>
          <w:szCs w:val="22"/>
        </w:rPr>
      </w:pPr>
      <w:r>
        <w:rPr>
          <w:rStyle w:val="EndnoteReference"/>
          <w:szCs w:val="22"/>
        </w:rPr>
        <w:endnoteRef/>
      </w:r>
      <w:r>
        <w:rPr>
          <w:szCs w:val="22"/>
        </w:rPr>
        <w:t xml:space="preserve"> For a patient perspective on adherence, see "Adherence and Concordance. EPF position paper" (2015) available at </w:t>
      </w:r>
      <w:hyperlink r:id="rId34" w:history="1">
        <w:r>
          <w:rPr>
            <w:rStyle w:val="Hyperlink"/>
            <w:szCs w:val="22"/>
          </w:rPr>
          <w:t>www.eu-patient.eu/globalassets/policy/adherence-compliance-concordance/adherence-paper-final-rev_external.pdf</w:t>
        </w:r>
      </w:hyperlink>
      <w:r>
        <w:rPr>
          <w:szCs w:val="22"/>
        </w:rPr>
        <w:t xml:space="preserve"> </w:t>
      </w:r>
    </w:p>
    <w:p w14:paraId="1ECC6BD5" w14:textId="77777777" w:rsidR="00FE4157" w:rsidRDefault="00FE4157">
      <w:pPr>
        <w:pStyle w:val="EndnoteText"/>
        <w:spacing w:after="60"/>
        <w:rPr>
          <w:szCs w:val="22"/>
        </w:rPr>
      </w:pPr>
    </w:p>
  </w:endnote>
  <w:endnote w:id="46">
    <w:p w14:paraId="154DF845" w14:textId="77777777" w:rsidR="00FE4157" w:rsidRDefault="00FE4157" w:rsidP="00A93E7A">
      <w:pPr>
        <w:pStyle w:val="EndnoteText"/>
      </w:pPr>
      <w:r>
        <w:rPr>
          <w:rStyle w:val="EndnoteReference"/>
        </w:rPr>
        <w:endnoteRef/>
      </w:r>
      <w:r>
        <w:t xml:space="preserve"> “Drug Goes From $13.50 a Tablet to $750, Overnight” New York Times, 20 September 2015; “Big Price Increase for Tuberculosis Drug Is Rescinded”, New York Times, 21 September 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D41E" w14:textId="7E6E97F1" w:rsidR="00FE4157" w:rsidRDefault="00FE4157">
    <w:pPr>
      <w:pStyle w:val="Footer"/>
      <w:jc w:val="right"/>
    </w:pPr>
    <w:r>
      <w:rPr>
        <w:noProof/>
        <w:lang w:val="en-US"/>
      </w:rPr>
      <mc:AlternateContent>
        <mc:Choice Requires="wps">
          <w:drawing>
            <wp:anchor distT="0" distB="0" distL="114300" distR="114300" simplePos="0" relativeHeight="251656704" behindDoc="0" locked="0" layoutInCell="1" allowOverlap="1" wp14:anchorId="1F73E540" wp14:editId="33097352">
              <wp:simplePos x="0" y="0"/>
              <wp:positionH relativeFrom="column">
                <wp:posOffset>-514350</wp:posOffset>
              </wp:positionH>
              <wp:positionV relativeFrom="paragraph">
                <wp:posOffset>38100</wp:posOffset>
              </wp:positionV>
              <wp:extent cx="3495675" cy="635"/>
              <wp:effectExtent l="19050" t="19050" r="19050" b="27940"/>
              <wp:wrapNone/>
              <wp:docPr id="1"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635"/>
                      </a:xfrm>
                      <a:prstGeom prst="line">
                        <a:avLst/>
                      </a:prstGeom>
                      <a:noFill/>
                      <a:ln w="38100">
                        <a:solidFill>
                          <a:srgbClr val="1CB2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36542" id="Straight Connector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23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" strokecolor="#1cb259" strokeweight="3pt"/>
          </w:pict>
        </mc:Fallback>
      </mc:AlternateContent>
    </w:r>
    <w:r>
      <w:fldChar w:fldCharType="begin"/>
    </w:r>
    <w:r>
      <w:instrText xml:space="preserve"> PAGE   \* MERGEFORMAT </w:instrText>
    </w:r>
    <w:r>
      <w:fldChar w:fldCharType="separate"/>
    </w:r>
    <w:r w:rsidR="00FA54E1">
      <w:rPr>
        <w:noProof/>
      </w:rPr>
      <w:t>20</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20021" w14:textId="14EEA9F4" w:rsidR="00FE4157" w:rsidRDefault="00FE4157" w:rsidP="00CD31A8">
    <w:pPr>
      <w:pStyle w:val="Footer"/>
    </w:pPr>
    <w:r>
      <w:rPr>
        <w:noProof/>
        <w:lang w:val="en-US"/>
      </w:rPr>
      <w:drawing>
        <wp:anchor distT="0" distB="0" distL="114300" distR="114300" simplePos="0" relativeHeight="251657728" behindDoc="1" locked="0" layoutInCell="1" allowOverlap="1" wp14:anchorId="5F83D246" wp14:editId="22FABC00">
          <wp:simplePos x="0" y="0"/>
          <wp:positionH relativeFrom="column">
            <wp:posOffset>1009650</wp:posOffset>
          </wp:positionH>
          <wp:positionV relativeFrom="paragraph">
            <wp:posOffset>-3114675</wp:posOffset>
          </wp:positionV>
          <wp:extent cx="3876675" cy="3219450"/>
          <wp:effectExtent l="0" t="0" r="9525" b="0"/>
          <wp:wrapNone/>
          <wp:docPr id="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675" cy="3219450"/>
                  </a:xfrm>
                  <a:prstGeom prst="rect">
                    <a:avLst/>
                  </a:prstGeom>
                  <a:noFill/>
                </pic:spPr>
              </pic:pic>
            </a:graphicData>
          </a:graphic>
          <wp14:sizeRelH relativeFrom="page">
            <wp14:pctWidth>0</wp14:pctWidth>
          </wp14:sizeRelH>
          <wp14:sizeRelV relativeFrom="page">
            <wp14:pctHeight>0</wp14:pctHeight>
          </wp14:sizeRelV>
        </wp:anchor>
      </w:drawing>
    </w:r>
  </w:p>
  <w:p w14:paraId="56EBEC45" w14:textId="1C62D2E8" w:rsidR="00FE4157" w:rsidRDefault="00FE41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8DC7" w14:textId="77777777" w:rsidR="00AF2677" w:rsidRDefault="00AF2677" w:rsidP="00421B64">
      <w:pPr>
        <w:spacing w:after="0" w:line="240" w:lineRule="auto"/>
      </w:pPr>
      <w:r>
        <w:separator/>
      </w:r>
    </w:p>
  </w:footnote>
  <w:footnote w:type="continuationSeparator" w:id="0">
    <w:p w14:paraId="1209CB4E" w14:textId="77777777" w:rsidR="00AF2677" w:rsidRDefault="00AF2677" w:rsidP="00421B64">
      <w:pPr>
        <w:spacing w:after="0" w:line="240" w:lineRule="auto"/>
      </w:pPr>
      <w:r>
        <w:continuationSeparator/>
      </w:r>
    </w:p>
  </w:footnote>
  <w:footnote w:id="1">
    <w:p w14:paraId="4252A0F4" w14:textId="6BFBA52B" w:rsidR="00FE4157" w:rsidRPr="009D109E" w:rsidRDefault="00FE4157">
      <w:pPr>
        <w:pStyle w:val="FootnoteText"/>
        <w:rPr>
          <w:sz w:val="18"/>
        </w:rPr>
      </w:pPr>
      <w:r w:rsidRPr="009D109E">
        <w:rPr>
          <w:rStyle w:val="FootnoteReference"/>
          <w:sz w:val="18"/>
        </w:rPr>
        <w:footnoteRef/>
      </w:r>
      <w:r w:rsidRPr="009D109E">
        <w:rPr>
          <w:sz w:val="18"/>
        </w:rPr>
        <w:t xml:space="preserve"> Regardless </w:t>
      </w:r>
      <w:r>
        <w:rPr>
          <w:sz w:val="18"/>
        </w:rPr>
        <w:t xml:space="preserve">of the </w:t>
      </w:r>
      <w:r w:rsidRPr="009D109E">
        <w:rPr>
          <w:sz w:val="18"/>
        </w:rPr>
        <w:t xml:space="preserve">size of </w:t>
      </w:r>
      <w:r>
        <w:rPr>
          <w:sz w:val="18"/>
        </w:rPr>
        <w:t xml:space="preserve">a </w:t>
      </w:r>
      <w:r w:rsidRPr="009D109E">
        <w:rPr>
          <w:sz w:val="18"/>
        </w:rPr>
        <w:t>country, industry marketing strategies</w:t>
      </w:r>
      <w:r>
        <w:rPr>
          <w:sz w:val="18"/>
        </w:rPr>
        <w:t>,</w:t>
      </w:r>
      <w:r w:rsidRPr="009D109E">
        <w:rPr>
          <w:sz w:val="18"/>
        </w:rPr>
        <w:t xml:space="preserve"> expected profits</w:t>
      </w:r>
      <w:r>
        <w:rPr>
          <w:sz w:val="18"/>
        </w:rPr>
        <w:t xml:space="preserve"> </w:t>
      </w:r>
      <w:r w:rsidRPr="009D109E">
        <w:rPr>
          <w:sz w:val="18"/>
        </w:rPr>
        <w:t xml:space="preserve">or </w:t>
      </w:r>
      <w:r>
        <w:rPr>
          <w:sz w:val="18"/>
        </w:rPr>
        <w:t xml:space="preserve">compliance with national </w:t>
      </w:r>
      <w:r w:rsidRPr="009D109E">
        <w:rPr>
          <w:sz w:val="18"/>
        </w:rPr>
        <w:t>regulations</w:t>
      </w:r>
      <w:r>
        <w:rPr>
          <w:sz w:val="18"/>
        </w:rPr>
        <w:t>.</w:t>
      </w:r>
    </w:p>
  </w:footnote>
  <w:footnote w:id="2">
    <w:p w14:paraId="599E2266" w14:textId="11EB7D76" w:rsidR="00FE4157" w:rsidRPr="00103D7F" w:rsidRDefault="00FE4157" w:rsidP="00103D7F">
      <w:pPr>
        <w:pStyle w:val="FootnoteText"/>
        <w:jc w:val="both"/>
        <w:rPr>
          <w:sz w:val="18"/>
          <w:szCs w:val="18"/>
        </w:rPr>
      </w:pPr>
      <w:r w:rsidRPr="00103D7F">
        <w:rPr>
          <w:rStyle w:val="FootnoteReference"/>
          <w:sz w:val="18"/>
          <w:szCs w:val="18"/>
        </w:rPr>
        <w:footnoteRef/>
      </w:r>
      <w:r w:rsidRPr="00103D7F">
        <w:rPr>
          <w:sz w:val="18"/>
          <w:szCs w:val="18"/>
        </w:rPr>
        <w:t xml:space="preserve">  For example, </w:t>
      </w:r>
      <w:proofErr w:type="spellStart"/>
      <w:r w:rsidRPr="00103D7F">
        <w:rPr>
          <w:sz w:val="18"/>
          <w:szCs w:val="18"/>
        </w:rPr>
        <w:t>Luxturna</w:t>
      </w:r>
      <w:proofErr w:type="spellEnd"/>
      <w:r w:rsidRPr="00103D7F">
        <w:rPr>
          <w:sz w:val="18"/>
          <w:szCs w:val="18"/>
        </w:rPr>
        <w:t xml:space="preserve"> recently approved by the FDA is a “landmark” gene therapy that treats a rare, inherited form of blindness. The one-time treatment corrects a faulty gene to improve vision. However, its price-tag is set at $850,000 [€692.140], “so daunting that its maker will offer health insurers partial rebates if the drug doesn't work and is seeking to pilot an </w:t>
      </w:r>
      <w:proofErr w:type="spellStart"/>
      <w:r w:rsidRPr="00103D7F">
        <w:rPr>
          <w:sz w:val="18"/>
          <w:szCs w:val="18"/>
        </w:rPr>
        <w:t>installment</w:t>
      </w:r>
      <w:proofErr w:type="spellEnd"/>
      <w:r w:rsidRPr="00103D7F">
        <w:rPr>
          <w:sz w:val="18"/>
          <w:szCs w:val="18"/>
        </w:rPr>
        <w:t xml:space="preserve"> payment option”. In the US, there could be 1000-2000 potential patients with the specific genetic mutation, making the total cost of treating all them $850 million to $1.7 billion. Novartis has bought the commercialisation rights for the therapy outside the US </w:t>
      </w:r>
      <w:hyperlink r:id="rId1" w:history="1">
        <w:r w:rsidRPr="00103D7F">
          <w:rPr>
            <w:rStyle w:val="Hyperlink"/>
            <w:sz w:val="18"/>
            <w:szCs w:val="18"/>
          </w:rPr>
          <w:t>reportedly</w:t>
        </w:r>
      </w:hyperlink>
      <w:r w:rsidRPr="00103D7F">
        <w:rPr>
          <w:sz w:val="18"/>
          <w:szCs w:val="18"/>
        </w:rPr>
        <w:t xml:space="preserve"> for €137 million. </w:t>
      </w:r>
    </w:p>
  </w:footnote>
  <w:footnote w:id="3">
    <w:p w14:paraId="1434F0D6" w14:textId="6DC34AF4" w:rsidR="00FE4157" w:rsidRPr="00154A9A" w:rsidRDefault="00FE4157" w:rsidP="000950E9">
      <w:pPr>
        <w:pStyle w:val="FootnoteText"/>
        <w:spacing w:after="40"/>
        <w:jc w:val="both"/>
        <w:rPr>
          <w:sz w:val="18"/>
        </w:rPr>
      </w:pPr>
      <w:r w:rsidRPr="00154A9A">
        <w:rPr>
          <w:rStyle w:val="FootnoteReference"/>
          <w:sz w:val="18"/>
        </w:rPr>
        <w:footnoteRef/>
      </w:r>
      <w:r w:rsidRPr="00154A9A">
        <w:rPr>
          <w:sz w:val="18"/>
        </w:rPr>
        <w:t xml:space="preserve"> Today, the prices of hepatitis C medicines are significantly lower than initially due to competition</w:t>
      </w:r>
      <w:r>
        <w:rPr>
          <w:sz w:val="18"/>
        </w:rPr>
        <w:t xml:space="preserve">, though it has taken some years. Moreover, prices were lowered </w:t>
      </w:r>
      <w:r w:rsidRPr="00154A9A">
        <w:rPr>
          <w:sz w:val="18"/>
        </w:rPr>
        <w:t>as a result of confidential (secret) negotiations with governments</w:t>
      </w:r>
      <w:r>
        <w:rPr>
          <w:sz w:val="18"/>
        </w:rPr>
        <w:t xml:space="preserve"> though</w:t>
      </w:r>
      <w:r w:rsidRPr="00154A9A">
        <w:rPr>
          <w:sz w:val="18"/>
        </w:rPr>
        <w:t xml:space="preserve"> </w:t>
      </w:r>
      <w:r>
        <w:rPr>
          <w:sz w:val="18"/>
        </w:rPr>
        <w:t xml:space="preserve">this </w:t>
      </w:r>
      <w:r w:rsidRPr="00154A9A">
        <w:rPr>
          <w:sz w:val="18"/>
        </w:rPr>
        <w:t xml:space="preserve">exacerbated disparities with richer and bigger countries having better prices than smaller and poorer ones. </w:t>
      </w:r>
    </w:p>
  </w:footnote>
  <w:footnote w:id="4">
    <w:p w14:paraId="5384E45E" w14:textId="77777777" w:rsidR="00FE4157" w:rsidRDefault="00FE4157" w:rsidP="004875C1">
      <w:pPr>
        <w:pStyle w:val="FootnoteText"/>
        <w:jc w:val="both"/>
      </w:pPr>
      <w:r w:rsidRPr="005F2758">
        <w:rPr>
          <w:rStyle w:val="FootnoteReference"/>
          <w:sz w:val="18"/>
        </w:rPr>
        <w:footnoteRef/>
      </w:r>
      <w:r w:rsidRPr="005F2758">
        <w:rPr>
          <w:sz w:val="18"/>
        </w:rPr>
        <w:t xml:space="preserve"> Note on TRIPS flexibilities as regards patent rights (e.g. compulsory licensing): some countries have threatened to use it to address public health issues – and according to some media coverage, this alone may have had an effect in pressuring industry to lower prices; however, as far as we can see they have not actually been used within the EU. The EP report reminds Member States that they can be used in exceptional cases; the UN panel as above recommends their use if needed; however, most Member States would probably not consider them politically palatable options.  </w:t>
      </w:r>
    </w:p>
  </w:footnote>
  <w:footnote w:id="5">
    <w:p w14:paraId="14175314" w14:textId="77777777" w:rsidR="00FE4157" w:rsidRPr="004800B2" w:rsidRDefault="00FE4157" w:rsidP="000950E9">
      <w:pPr>
        <w:spacing w:after="40" w:line="240" w:lineRule="auto"/>
        <w:jc w:val="both"/>
        <w:rPr>
          <w:sz w:val="18"/>
          <w:szCs w:val="18"/>
        </w:rPr>
      </w:pPr>
      <w:r w:rsidRPr="004800B2">
        <w:rPr>
          <w:rStyle w:val="FootnoteReference"/>
          <w:sz w:val="18"/>
          <w:szCs w:val="18"/>
        </w:rPr>
        <w:footnoteRef/>
      </w:r>
      <w:r w:rsidRPr="004800B2">
        <w:rPr>
          <w:sz w:val="18"/>
          <w:szCs w:val="18"/>
        </w:rPr>
        <w:t xml:space="preserve"> Supplementary protection certificates (SPCs) are an intellectual property right that serve as an extension to a patent right. They apply to specific pharmaceutical and plant protection products that have been authorised by regulatory authorities. The EU wishes to provide sufficient protection for these products in the interest of public health and to encourage innovation in these areas to generate smart growth and jobs.</w:t>
      </w:r>
    </w:p>
  </w:footnote>
  <w:footnote w:id="6">
    <w:p w14:paraId="5DDAE2E2" w14:textId="77777777" w:rsidR="00FE4157" w:rsidRPr="004800B2" w:rsidRDefault="00FE4157" w:rsidP="00D51850">
      <w:pPr>
        <w:pStyle w:val="FootnoteText"/>
        <w:spacing w:after="80"/>
        <w:jc w:val="both"/>
        <w:rPr>
          <w:sz w:val="18"/>
          <w:szCs w:val="18"/>
        </w:rPr>
      </w:pPr>
      <w:r w:rsidRPr="004800B2">
        <w:rPr>
          <w:rStyle w:val="FootnoteReference"/>
          <w:sz w:val="18"/>
          <w:szCs w:val="18"/>
        </w:rPr>
        <w:footnoteRef/>
      </w:r>
      <w:r w:rsidRPr="004800B2">
        <w:rPr>
          <w:sz w:val="18"/>
          <w:szCs w:val="18"/>
        </w:rPr>
        <w:t xml:space="preserve"> The principle behind the “</w:t>
      </w:r>
      <w:proofErr w:type="spellStart"/>
      <w:r w:rsidRPr="004800B2">
        <w:rPr>
          <w:sz w:val="18"/>
          <w:szCs w:val="18"/>
        </w:rPr>
        <w:t>Bolar</w:t>
      </w:r>
      <w:proofErr w:type="spellEnd"/>
      <w:r w:rsidRPr="004800B2">
        <w:rPr>
          <w:sz w:val="18"/>
          <w:szCs w:val="18"/>
        </w:rPr>
        <w:t>” exemption is that generic companies should be in a position to take the necessary preparatory measures in order to be able to enter the market without delay once patent protection expires (article 10.6 of the Directive 2001/83/EC of 6 November 2001 on the Community code relating to medicinal products for human use).</w:t>
      </w:r>
    </w:p>
  </w:footnote>
  <w:footnote w:id="7">
    <w:p w14:paraId="5551FC08" w14:textId="77777777" w:rsidR="00FE4157" w:rsidRPr="00D51850" w:rsidRDefault="00FE4157" w:rsidP="00C754CC">
      <w:pPr>
        <w:pStyle w:val="FootnoteText"/>
        <w:spacing w:after="40"/>
        <w:jc w:val="both"/>
        <w:rPr>
          <w:sz w:val="18"/>
          <w:szCs w:val="18"/>
        </w:rPr>
      </w:pPr>
      <w:r w:rsidRPr="00D51850">
        <w:rPr>
          <w:rStyle w:val="FootnoteReference"/>
          <w:sz w:val="18"/>
          <w:szCs w:val="18"/>
        </w:rPr>
        <w:footnoteRef/>
      </w:r>
      <w:r w:rsidRPr="00D51850">
        <w:rPr>
          <w:sz w:val="18"/>
          <w:szCs w:val="18"/>
        </w:rPr>
        <w:t xml:space="preserve"> At the time of writing (April 2018)</w:t>
      </w:r>
    </w:p>
  </w:footnote>
  <w:footnote w:id="8">
    <w:p w14:paraId="0FE5EBDB" w14:textId="104C48B7" w:rsidR="00FE4157" w:rsidRPr="000950E9" w:rsidRDefault="00FE4157" w:rsidP="00D51850">
      <w:pPr>
        <w:pStyle w:val="FootnoteText"/>
        <w:spacing w:after="80"/>
        <w:jc w:val="both"/>
        <w:rPr>
          <w:color w:val="C00000"/>
          <w:sz w:val="18"/>
          <w:szCs w:val="18"/>
        </w:rPr>
      </w:pPr>
      <w:r w:rsidRPr="00D51850">
        <w:rPr>
          <w:rStyle w:val="FootnoteReference"/>
          <w:sz w:val="18"/>
          <w:szCs w:val="18"/>
        </w:rPr>
        <w:footnoteRef/>
      </w:r>
      <w:r w:rsidRPr="00D51850">
        <w:rPr>
          <w:sz w:val="18"/>
          <w:szCs w:val="18"/>
        </w:rPr>
        <w:t xml:space="preserve"> </w:t>
      </w:r>
      <w:r w:rsidRPr="000950E9">
        <w:rPr>
          <w:color w:val="C00000"/>
          <w:sz w:val="18"/>
          <w:szCs w:val="18"/>
        </w:rPr>
        <w:t>Internal note: EPF has not published any position on pharmaceutical incentives. As a first step to engage with this rather technical globally, an educational workshop took place in February 2018 for patient organisation representatives, and a follow-up communication activity will take place later in the year.</w:t>
      </w:r>
    </w:p>
  </w:footnote>
  <w:footnote w:id="9">
    <w:p w14:paraId="452E690B" w14:textId="28D2C282" w:rsidR="00FE4157" w:rsidRPr="001D08F9" w:rsidRDefault="00FE4157" w:rsidP="00B3395E">
      <w:pPr>
        <w:pStyle w:val="FootnoteText"/>
        <w:spacing w:after="40"/>
        <w:jc w:val="both"/>
        <w:rPr>
          <w:sz w:val="18"/>
        </w:rPr>
      </w:pPr>
      <w:r w:rsidRPr="007A017A">
        <w:rPr>
          <w:rStyle w:val="FootnoteReference"/>
          <w:sz w:val="18"/>
        </w:rPr>
        <w:footnoteRef/>
      </w:r>
      <w:r w:rsidRPr="007A017A">
        <w:rPr>
          <w:sz w:val="18"/>
        </w:rPr>
        <w:t xml:space="preserve"> Also known as “external reference pricing or international price comparison / benchmarking, is defined as the practice of using the price(s) of a medicine in one or several countries in order to derive a benchmark or reference price for the purposes of setting or negotiating the price of a medicine in a given country.” It is usually limited to specific medicines, such as originator, prescription-only or new medicines. (Study on enhanced cross-country coordination in the area of pharmaceutical product pricing. Final report, December 2015; page xiv.)  </w:t>
      </w:r>
    </w:p>
  </w:footnote>
  <w:footnote w:id="10">
    <w:p w14:paraId="52980092" w14:textId="77777777" w:rsidR="00FE4157" w:rsidRPr="006E26DB" w:rsidRDefault="00FE4157" w:rsidP="00596CE1">
      <w:pPr>
        <w:pStyle w:val="FootnoteText"/>
        <w:spacing w:after="80"/>
        <w:jc w:val="both"/>
        <w:rPr>
          <w:color w:val="C00000"/>
        </w:rPr>
      </w:pPr>
      <w:r w:rsidRPr="007A017A">
        <w:rPr>
          <w:rStyle w:val="FootnoteReference"/>
          <w:sz w:val="18"/>
        </w:rPr>
        <w:footnoteRef/>
      </w:r>
      <w:r w:rsidRPr="007A017A">
        <w:rPr>
          <w:sz w:val="18"/>
        </w:rPr>
        <w:t xml:space="preserve"> Parallel trade is also called parallel export; it happens when a medicine originally sold under patent protection “is traded in another country without control or permission from the original patent holder ... From a legal perspective, medicines as such are no exception to the free mobility of goods in the internal market.” Thus medicines from lower-priced countries are exported to higher-priced countries. (Study on enhanced cross-country coordination in the area of pharmaceutical product pricing. Final report, December 2015; page xvii)</w:t>
      </w:r>
    </w:p>
  </w:footnote>
  <w:footnote w:id="11">
    <w:p w14:paraId="02D13077" w14:textId="38408BED" w:rsidR="00FE4157" w:rsidRPr="00FE4157" w:rsidRDefault="00FE4157" w:rsidP="00B3395E">
      <w:pPr>
        <w:pStyle w:val="FootnoteText"/>
        <w:spacing w:after="40"/>
        <w:jc w:val="both"/>
        <w:rPr>
          <w:sz w:val="18"/>
        </w:rPr>
      </w:pPr>
      <w:r w:rsidRPr="00FE4157">
        <w:rPr>
          <w:rStyle w:val="FootnoteReference"/>
          <w:sz w:val="18"/>
        </w:rPr>
        <w:footnoteRef/>
      </w:r>
      <w:r w:rsidRPr="00FE4157">
        <w:rPr>
          <w:sz w:val="18"/>
        </w:rPr>
        <w:t xml:space="preserve"> </w:t>
      </w:r>
      <w:r w:rsidRPr="002159ED">
        <w:rPr>
          <w:color w:val="C00000"/>
          <w:sz w:val="18"/>
        </w:rPr>
        <w:t xml:space="preserve">internal note: </w:t>
      </w:r>
      <w:r w:rsidR="002159ED">
        <w:rPr>
          <w:color w:val="C00000"/>
          <w:sz w:val="18"/>
        </w:rPr>
        <w:t xml:space="preserve">the </w:t>
      </w:r>
      <w:r w:rsidR="002159ED" w:rsidRPr="002159ED">
        <w:rPr>
          <w:color w:val="C00000"/>
          <w:sz w:val="18"/>
        </w:rPr>
        <w:t>previous version was not clear enough about EPF's position on “value-based pricing", there was a possibility of misunderstanding because it is very much perceived as industry language.</w:t>
      </w:r>
      <w:r w:rsidR="002159ED">
        <w:rPr>
          <w:color w:val="C00000"/>
          <w:sz w:val="18"/>
        </w:rPr>
        <w:t xml:space="preserve"> </w:t>
      </w:r>
      <w:r w:rsidR="002159ED" w:rsidRPr="002159ED">
        <w:rPr>
          <w:color w:val="C00000"/>
          <w:sz w:val="18"/>
        </w:rPr>
        <w:t xml:space="preserve">We have </w:t>
      </w:r>
      <w:r w:rsidR="002159ED">
        <w:rPr>
          <w:color w:val="C00000"/>
          <w:sz w:val="18"/>
        </w:rPr>
        <w:t xml:space="preserve">therefore </w:t>
      </w:r>
      <w:r w:rsidR="002159ED" w:rsidRPr="002159ED">
        <w:rPr>
          <w:color w:val="C00000"/>
          <w:sz w:val="18"/>
        </w:rPr>
        <w:t>decided not to use</w:t>
      </w:r>
      <w:r w:rsidR="002159ED">
        <w:rPr>
          <w:color w:val="C00000"/>
          <w:sz w:val="18"/>
        </w:rPr>
        <w:t xml:space="preserve"> that </w:t>
      </w:r>
      <w:r w:rsidR="002159ED" w:rsidRPr="002159ED">
        <w:rPr>
          <w:color w:val="C00000"/>
          <w:sz w:val="18"/>
        </w:rPr>
        <w:t>term</w:t>
      </w:r>
      <w:r w:rsidR="002159ED">
        <w:rPr>
          <w:color w:val="C00000"/>
          <w:sz w:val="18"/>
        </w:rPr>
        <w:t>.</w:t>
      </w:r>
    </w:p>
  </w:footnote>
  <w:footnote w:id="12">
    <w:p w14:paraId="3DAA743A" w14:textId="75BBB2F6" w:rsidR="00FE4157" w:rsidRPr="00FE4157" w:rsidRDefault="00FE4157" w:rsidP="00596CE1">
      <w:pPr>
        <w:pStyle w:val="FootnoteText"/>
        <w:spacing w:after="80"/>
        <w:jc w:val="both"/>
        <w:rPr>
          <w:color w:val="C00000"/>
          <w:sz w:val="18"/>
          <w:szCs w:val="18"/>
        </w:rPr>
      </w:pPr>
      <w:r w:rsidRPr="00596CE1">
        <w:rPr>
          <w:rStyle w:val="FootnoteReference"/>
          <w:sz w:val="18"/>
          <w:szCs w:val="18"/>
        </w:rPr>
        <w:footnoteRef/>
      </w:r>
      <w:r>
        <w:rPr>
          <w:sz w:val="18"/>
          <w:szCs w:val="18"/>
        </w:rPr>
        <w:t xml:space="preserve"> </w:t>
      </w:r>
      <w:r w:rsidRPr="00FE4157">
        <w:rPr>
          <w:color w:val="C00000"/>
          <w:sz w:val="18"/>
          <w:szCs w:val="18"/>
        </w:rPr>
        <w:t>internal note: Previously there was a section only on transparency of prices, whereas in this section we address transparency in the system as a whole, including prices and pricing decision-making. Some more text may need to be added on transparency of financial relationships between influencers and "key opinion leaders" in the medical field and the pharmaceutical industry, as that may have a impact on prescribing practices.</w:t>
      </w:r>
    </w:p>
  </w:footnote>
  <w:footnote w:id="13">
    <w:p w14:paraId="645D2535" w14:textId="7D604A8B" w:rsidR="00FE4157" w:rsidRPr="00596CE1" w:rsidRDefault="00FE4157" w:rsidP="00596CE1">
      <w:pPr>
        <w:pStyle w:val="FootnoteText"/>
        <w:spacing w:after="80"/>
        <w:jc w:val="both"/>
        <w:rPr>
          <w:sz w:val="18"/>
          <w:szCs w:val="18"/>
        </w:rPr>
      </w:pPr>
      <w:r w:rsidRPr="00596CE1">
        <w:rPr>
          <w:rStyle w:val="FootnoteReference"/>
          <w:sz w:val="18"/>
          <w:szCs w:val="18"/>
        </w:rPr>
        <w:footnoteRef/>
      </w:r>
      <w:r w:rsidRPr="00596CE1">
        <w:rPr>
          <w:sz w:val="18"/>
          <w:szCs w:val="18"/>
        </w:rPr>
        <w:t xml:space="preserve"> </w:t>
      </w:r>
      <w:r w:rsidRPr="00FE4157">
        <w:rPr>
          <w:color w:val="C00000"/>
          <w:sz w:val="18"/>
          <w:szCs w:val="18"/>
        </w:rPr>
        <w:t>internal note: This is our impression right now, unless there is other information available.</w:t>
      </w:r>
    </w:p>
  </w:footnote>
  <w:footnote w:id="14">
    <w:p w14:paraId="03939B4A" w14:textId="69E92899" w:rsidR="00FE4157" w:rsidRPr="00596CE1" w:rsidRDefault="00FE4157" w:rsidP="00596CE1">
      <w:pPr>
        <w:pStyle w:val="FootnoteText"/>
        <w:jc w:val="both"/>
        <w:rPr>
          <w:sz w:val="18"/>
        </w:rPr>
      </w:pPr>
      <w:r w:rsidRPr="00596CE1">
        <w:rPr>
          <w:rStyle w:val="FootnoteReference"/>
          <w:sz w:val="18"/>
        </w:rPr>
        <w:footnoteRef/>
      </w:r>
      <w:r w:rsidRPr="00596CE1">
        <w:rPr>
          <w:sz w:val="18"/>
        </w:rPr>
        <w:t xml:space="preserve"> "Warning to control costs of medicines". Irish Examiner, 7 April 2018. </w:t>
      </w:r>
      <w:hyperlink r:id="rId2" w:history="1">
        <w:r w:rsidRPr="00596CE1">
          <w:rPr>
            <w:rStyle w:val="Hyperlink"/>
            <w:sz w:val="18"/>
          </w:rPr>
          <w:t>www.irishexaminer.com/ireland/warning-to-control-costs-of-medicines-469210.html</w:t>
        </w:r>
      </w:hyperlink>
      <w:r w:rsidRPr="00596CE1">
        <w:rPr>
          <w:sz w:val="18"/>
        </w:rPr>
        <w:t xml:space="preserve">, </w:t>
      </w:r>
    </w:p>
  </w:footnote>
  <w:footnote w:id="15">
    <w:p w14:paraId="1EB386F9" w14:textId="7E451197" w:rsidR="001021FB" w:rsidRPr="001021FB" w:rsidRDefault="001021FB" w:rsidP="001021FB">
      <w:pPr>
        <w:pStyle w:val="FootnoteText"/>
        <w:spacing w:after="40"/>
        <w:rPr>
          <w:sz w:val="18"/>
        </w:rPr>
      </w:pPr>
      <w:r w:rsidRPr="001021FB">
        <w:rPr>
          <w:rStyle w:val="FootnoteReference"/>
          <w:sz w:val="18"/>
        </w:rPr>
        <w:footnoteRef/>
      </w:r>
      <w:r w:rsidRPr="001021FB">
        <w:rPr>
          <w:sz w:val="18"/>
        </w:rPr>
        <w:t xml:space="preserve"> We do not deal extensively with HTA</w:t>
      </w:r>
      <w:r>
        <w:rPr>
          <w:sz w:val="18"/>
        </w:rPr>
        <w:t xml:space="preserve"> in</w:t>
      </w:r>
      <w:r w:rsidRPr="001021FB">
        <w:rPr>
          <w:sz w:val="18"/>
        </w:rPr>
        <w:t xml:space="preserve"> this paper, because EPF has a separate position paper on HTA and is working on patient involvement in that arena. </w:t>
      </w:r>
    </w:p>
  </w:footnote>
  <w:footnote w:id="16">
    <w:p w14:paraId="5D0D612D" w14:textId="26F9751B" w:rsidR="00FE4157" w:rsidRPr="007A017A" w:rsidRDefault="00FE4157" w:rsidP="001021FB">
      <w:pPr>
        <w:pStyle w:val="FootnoteText"/>
        <w:spacing w:after="40"/>
        <w:jc w:val="both"/>
        <w:rPr>
          <w:sz w:val="18"/>
        </w:rPr>
      </w:pPr>
      <w:r w:rsidRPr="007A017A">
        <w:rPr>
          <w:rStyle w:val="FootnoteReference"/>
          <w:sz w:val="18"/>
        </w:rPr>
        <w:footnoteRef/>
      </w:r>
      <w:r w:rsidRPr="007A017A">
        <w:rPr>
          <w:sz w:val="18"/>
        </w:rPr>
        <w:t xml:space="preserve"> Products where it is not clear if they fall under the definition of medicinal product or some other category (for example medical device or food supplement) for regulatory purposes.</w:t>
      </w:r>
    </w:p>
  </w:footnote>
  <w:footnote w:id="17">
    <w:p w14:paraId="4D3744D1" w14:textId="77777777" w:rsidR="00FE4157" w:rsidRPr="00D86109" w:rsidRDefault="00FE4157" w:rsidP="00E61435">
      <w:pPr>
        <w:pStyle w:val="FootnoteText"/>
        <w:spacing w:after="80"/>
        <w:jc w:val="both"/>
        <w:rPr>
          <w:sz w:val="18"/>
        </w:rPr>
      </w:pPr>
      <w:r w:rsidRPr="00D86109">
        <w:rPr>
          <w:rStyle w:val="FootnoteReference"/>
          <w:sz w:val="18"/>
        </w:rPr>
        <w:footnoteRef/>
      </w:r>
      <w:r w:rsidRPr="00D86109">
        <w:rPr>
          <w:sz w:val="18"/>
        </w:rPr>
        <w:t xml:space="preserve"> The concept of “Medicines Adaptive Pathways to Patients” (in short MAPPs, or simply “adaptive pathways”) refers to a medicines development process that is flexible and iterative  in nature. Typically, a medicine authorised through MAPPs will initially be licensed in a smaller, well-defined patient population for whom there is a confirmation that benefits outweigh risks. This target population is then adjusted (usually broadened) as the evidence base expands. Alternatively, a conditional approval would be confirmed by additional evidence from real-world after initial authorisation.</w:t>
      </w:r>
    </w:p>
  </w:footnote>
  <w:footnote w:id="18">
    <w:p w14:paraId="38E1FA20" w14:textId="2A985814" w:rsidR="00FE4157" w:rsidRPr="00902994" w:rsidRDefault="00FE4157">
      <w:pPr>
        <w:pStyle w:val="FootnoteText"/>
        <w:rPr>
          <w:sz w:val="18"/>
        </w:rPr>
      </w:pPr>
      <w:r w:rsidRPr="00902994">
        <w:rPr>
          <w:rStyle w:val="FootnoteReference"/>
          <w:sz w:val="18"/>
        </w:rPr>
        <w:footnoteRef/>
      </w:r>
      <w:r w:rsidRPr="00902994">
        <w:rPr>
          <w:sz w:val="18"/>
        </w:rPr>
        <w:t xml:space="preserve"> </w:t>
      </w:r>
      <w:r w:rsidR="00604C5F" w:rsidRPr="00604C5F">
        <w:rPr>
          <w:color w:val="C00000"/>
          <w:sz w:val="18"/>
        </w:rPr>
        <w:t xml:space="preserve">internal note: </w:t>
      </w:r>
      <w:r w:rsidRPr="00604C5F">
        <w:rPr>
          <w:color w:val="C00000"/>
          <w:sz w:val="18"/>
        </w:rPr>
        <w:t>In the previous version, the call was only to governments. We believe it is necessary also to refer</w:t>
      </w:r>
      <w:r w:rsidR="00604C5F" w:rsidRPr="00604C5F">
        <w:rPr>
          <w:color w:val="C00000"/>
          <w:sz w:val="18"/>
        </w:rPr>
        <w:t xml:space="preserve"> explicitly</w:t>
      </w:r>
      <w:r w:rsidRPr="00604C5F">
        <w:rPr>
          <w:color w:val="C00000"/>
          <w:sz w:val="18"/>
        </w:rPr>
        <w:t xml:space="preserve"> to industry. A new heading has been introduced to give </w:t>
      </w:r>
      <w:r w:rsidR="00604C5F" w:rsidRPr="00604C5F">
        <w:rPr>
          <w:color w:val="C00000"/>
          <w:sz w:val="18"/>
        </w:rPr>
        <w:t xml:space="preserve">overall greater </w:t>
      </w:r>
      <w:r w:rsidRPr="00604C5F">
        <w:rPr>
          <w:color w:val="C00000"/>
          <w:sz w:val="18"/>
        </w:rPr>
        <w:t>weight to this section.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E1E"/>
    <w:multiLevelType w:val="hybridMultilevel"/>
    <w:tmpl w:val="DEAAE1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1321D"/>
    <w:multiLevelType w:val="hybridMultilevel"/>
    <w:tmpl w:val="1EACF63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C738B"/>
    <w:multiLevelType w:val="hybridMultilevel"/>
    <w:tmpl w:val="BBA65D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48F6C17"/>
    <w:multiLevelType w:val="hybridMultilevel"/>
    <w:tmpl w:val="29AC2094"/>
    <w:lvl w:ilvl="0" w:tplc="FC4C7544">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25E2D"/>
    <w:multiLevelType w:val="multilevel"/>
    <w:tmpl w:val="14E25E2D"/>
    <w:lvl w:ilvl="0" w:tentative="1">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tentative="1">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008"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5">
    <w:nsid w:val="1A225154"/>
    <w:multiLevelType w:val="multilevel"/>
    <w:tmpl w:val="1EAF43E6"/>
    <w:lvl w:ilvl="0">
      <w:start w:val="1"/>
      <w:numFmt w:val="decimal"/>
      <w:lvlText w:val="%1."/>
      <w:lvlJc w:val="left"/>
      <w:pPr>
        <w:ind w:left="720" w:hanging="360"/>
      </w:pPr>
    </w:lvl>
    <w:lvl w:ilvl="1">
      <w:numFmt w:val="bullet"/>
      <w:lvlText w:val="•"/>
      <w:lvlJc w:val="left"/>
      <w:pPr>
        <w:ind w:left="1800" w:hanging="720"/>
      </w:pPr>
      <w:rPr>
        <w:rFonts w:ascii="Calibri" w:eastAsia="Calibri" w:hAnsi="Calibr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F43E6"/>
    <w:multiLevelType w:val="multilevel"/>
    <w:tmpl w:val="1EAF43E6"/>
    <w:lvl w:ilvl="0">
      <w:start w:val="1"/>
      <w:numFmt w:val="decimal"/>
      <w:lvlText w:val="%1."/>
      <w:lvlJc w:val="left"/>
      <w:pPr>
        <w:ind w:left="720" w:hanging="360"/>
      </w:pPr>
    </w:lvl>
    <w:lvl w:ilvl="1">
      <w:numFmt w:val="bullet"/>
      <w:lvlText w:val="•"/>
      <w:lvlJc w:val="left"/>
      <w:pPr>
        <w:ind w:left="1800" w:hanging="720"/>
      </w:pPr>
      <w:rPr>
        <w:rFonts w:ascii="Calibri" w:eastAsia="Calibri" w:hAnsi="Calibr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975315"/>
    <w:multiLevelType w:val="hybridMultilevel"/>
    <w:tmpl w:val="668CA97C"/>
    <w:lvl w:ilvl="0" w:tplc="20442770">
      <w:start w:val="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E04E78"/>
    <w:multiLevelType w:val="multilevel"/>
    <w:tmpl w:val="37E04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346DDF"/>
    <w:multiLevelType w:val="hybridMultilevel"/>
    <w:tmpl w:val="A2E8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306109"/>
    <w:multiLevelType w:val="multilevel"/>
    <w:tmpl w:val="D0CE2B96"/>
    <w:lvl w:ilvl="0">
      <w:start w:val="9"/>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D173BFF"/>
    <w:multiLevelType w:val="hybridMultilevel"/>
    <w:tmpl w:val="2F342428"/>
    <w:lvl w:ilvl="0" w:tplc="210084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3"/>
  </w:num>
  <w:num w:numId="6">
    <w:abstractNumId w:val="7"/>
  </w:num>
  <w:num w:numId="7">
    <w:abstractNumId w:val="11"/>
  </w:num>
  <w:num w:numId="8">
    <w:abstractNumId w:val="1"/>
  </w:num>
  <w:num w:numId="9">
    <w:abstractNumId w:val="0"/>
  </w:num>
  <w:num w:numId="10">
    <w:abstractNumId w:val="2"/>
  </w:num>
  <w:num w:numId="11">
    <w:abstractNumId w:val="4"/>
  </w:num>
  <w:num w:numId="12">
    <w:abstractNumId w:val="4"/>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attachedTemplate r:id="rId1"/>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numFmt w:val="lowerRoman"/>
    <w:footnote w:id="-1"/>
    <w:footnote w:id="0"/>
  </w:footnotePr>
  <w:endnotePr>
    <w:numFmt w:val="decimal"/>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B830E1D-3800-4741-95E7-5A7AB9CB87DF}"/>
    <w:docVar w:name="dgnword-eventsink" w:val="387894888"/>
  </w:docVars>
  <w:rsids>
    <w:rsidRoot w:val="00A14645"/>
    <w:rsid w:val="00003D6A"/>
    <w:rsid w:val="00007F2C"/>
    <w:rsid w:val="000105F2"/>
    <w:rsid w:val="000148EB"/>
    <w:rsid w:val="00020FEB"/>
    <w:rsid w:val="00022AC1"/>
    <w:rsid w:val="000249FC"/>
    <w:rsid w:val="00026A5A"/>
    <w:rsid w:val="00034DB3"/>
    <w:rsid w:val="00035335"/>
    <w:rsid w:val="0004516C"/>
    <w:rsid w:val="0005013C"/>
    <w:rsid w:val="00054077"/>
    <w:rsid w:val="000678B6"/>
    <w:rsid w:val="00074E09"/>
    <w:rsid w:val="000755FD"/>
    <w:rsid w:val="00082FA9"/>
    <w:rsid w:val="000857DA"/>
    <w:rsid w:val="0009043E"/>
    <w:rsid w:val="000950E9"/>
    <w:rsid w:val="000979C1"/>
    <w:rsid w:val="000A063E"/>
    <w:rsid w:val="000A2B45"/>
    <w:rsid w:val="000B1608"/>
    <w:rsid w:val="000B2F63"/>
    <w:rsid w:val="000D33DB"/>
    <w:rsid w:val="000D5F96"/>
    <w:rsid w:val="000D76C5"/>
    <w:rsid w:val="000E5BE5"/>
    <w:rsid w:val="000E7551"/>
    <w:rsid w:val="000F21D3"/>
    <w:rsid w:val="000F328A"/>
    <w:rsid w:val="001021FB"/>
    <w:rsid w:val="00103D7F"/>
    <w:rsid w:val="00104C24"/>
    <w:rsid w:val="001112F9"/>
    <w:rsid w:val="00116840"/>
    <w:rsid w:val="0011717C"/>
    <w:rsid w:val="001235A5"/>
    <w:rsid w:val="0013092F"/>
    <w:rsid w:val="00132F49"/>
    <w:rsid w:val="00135E37"/>
    <w:rsid w:val="00140195"/>
    <w:rsid w:val="00143C7F"/>
    <w:rsid w:val="0014443A"/>
    <w:rsid w:val="00146507"/>
    <w:rsid w:val="0015113A"/>
    <w:rsid w:val="001521C8"/>
    <w:rsid w:val="00154A9A"/>
    <w:rsid w:val="00167FF2"/>
    <w:rsid w:val="001757B6"/>
    <w:rsid w:val="00177209"/>
    <w:rsid w:val="001824E2"/>
    <w:rsid w:val="001A0CA2"/>
    <w:rsid w:val="001A1CAB"/>
    <w:rsid w:val="001A2BC9"/>
    <w:rsid w:val="001A2FAD"/>
    <w:rsid w:val="001A5AFE"/>
    <w:rsid w:val="001A7F45"/>
    <w:rsid w:val="001B15D3"/>
    <w:rsid w:val="001B3735"/>
    <w:rsid w:val="001B3A33"/>
    <w:rsid w:val="001C1BC2"/>
    <w:rsid w:val="001C6AD8"/>
    <w:rsid w:val="001C6AE1"/>
    <w:rsid w:val="001D08F9"/>
    <w:rsid w:val="001D4278"/>
    <w:rsid w:val="001D5411"/>
    <w:rsid w:val="001E0334"/>
    <w:rsid w:val="001E1570"/>
    <w:rsid w:val="001E23A0"/>
    <w:rsid w:val="001E4A6A"/>
    <w:rsid w:val="001F08F2"/>
    <w:rsid w:val="002007FF"/>
    <w:rsid w:val="002132EA"/>
    <w:rsid w:val="002143BB"/>
    <w:rsid w:val="002159ED"/>
    <w:rsid w:val="00217DEE"/>
    <w:rsid w:val="002249B8"/>
    <w:rsid w:val="002257FA"/>
    <w:rsid w:val="00232C0A"/>
    <w:rsid w:val="00235545"/>
    <w:rsid w:val="00240C75"/>
    <w:rsid w:val="0024182D"/>
    <w:rsid w:val="00251DBD"/>
    <w:rsid w:val="00254B45"/>
    <w:rsid w:val="00261314"/>
    <w:rsid w:val="0026518B"/>
    <w:rsid w:val="0027036E"/>
    <w:rsid w:val="00273C80"/>
    <w:rsid w:val="00276BE4"/>
    <w:rsid w:val="002A11C4"/>
    <w:rsid w:val="002A3205"/>
    <w:rsid w:val="002B34C7"/>
    <w:rsid w:val="002C3B8A"/>
    <w:rsid w:val="002C526C"/>
    <w:rsid w:val="002D4076"/>
    <w:rsid w:val="002D521A"/>
    <w:rsid w:val="002D7ECD"/>
    <w:rsid w:val="002E2752"/>
    <w:rsid w:val="002F12C8"/>
    <w:rsid w:val="002F65DE"/>
    <w:rsid w:val="00313040"/>
    <w:rsid w:val="003153A6"/>
    <w:rsid w:val="003158D4"/>
    <w:rsid w:val="003273DF"/>
    <w:rsid w:val="00334091"/>
    <w:rsid w:val="00342018"/>
    <w:rsid w:val="003440B4"/>
    <w:rsid w:val="00344B8F"/>
    <w:rsid w:val="00354E07"/>
    <w:rsid w:val="003550F4"/>
    <w:rsid w:val="00355F9E"/>
    <w:rsid w:val="003708EA"/>
    <w:rsid w:val="00371BC0"/>
    <w:rsid w:val="00375804"/>
    <w:rsid w:val="003765E6"/>
    <w:rsid w:val="0038165E"/>
    <w:rsid w:val="0038669E"/>
    <w:rsid w:val="00386ED6"/>
    <w:rsid w:val="003916DB"/>
    <w:rsid w:val="00393838"/>
    <w:rsid w:val="00396CF2"/>
    <w:rsid w:val="003A0C67"/>
    <w:rsid w:val="003A3DCD"/>
    <w:rsid w:val="003B0B1A"/>
    <w:rsid w:val="003B3663"/>
    <w:rsid w:val="003B549C"/>
    <w:rsid w:val="003C00F6"/>
    <w:rsid w:val="003C4808"/>
    <w:rsid w:val="003D3003"/>
    <w:rsid w:val="003D4862"/>
    <w:rsid w:val="003D686C"/>
    <w:rsid w:val="003E040C"/>
    <w:rsid w:val="003E2268"/>
    <w:rsid w:val="003E7379"/>
    <w:rsid w:val="004008D6"/>
    <w:rsid w:val="00406F79"/>
    <w:rsid w:val="00421B64"/>
    <w:rsid w:val="00422EE6"/>
    <w:rsid w:val="004254A1"/>
    <w:rsid w:val="00427055"/>
    <w:rsid w:val="0042782E"/>
    <w:rsid w:val="004406E6"/>
    <w:rsid w:val="004417BF"/>
    <w:rsid w:val="0044396D"/>
    <w:rsid w:val="00470710"/>
    <w:rsid w:val="004800B2"/>
    <w:rsid w:val="004808AF"/>
    <w:rsid w:val="00481401"/>
    <w:rsid w:val="00482FAD"/>
    <w:rsid w:val="00486593"/>
    <w:rsid w:val="004875C1"/>
    <w:rsid w:val="00490874"/>
    <w:rsid w:val="004A1354"/>
    <w:rsid w:val="004A2A45"/>
    <w:rsid w:val="004A4BFF"/>
    <w:rsid w:val="004B2AE9"/>
    <w:rsid w:val="004B3445"/>
    <w:rsid w:val="004B7446"/>
    <w:rsid w:val="004C0897"/>
    <w:rsid w:val="004C0D6C"/>
    <w:rsid w:val="004D4372"/>
    <w:rsid w:val="004E0299"/>
    <w:rsid w:val="004F769E"/>
    <w:rsid w:val="0050294E"/>
    <w:rsid w:val="00513843"/>
    <w:rsid w:val="005140EC"/>
    <w:rsid w:val="00514694"/>
    <w:rsid w:val="005219F7"/>
    <w:rsid w:val="005247BB"/>
    <w:rsid w:val="00526CAB"/>
    <w:rsid w:val="005330AE"/>
    <w:rsid w:val="0053407C"/>
    <w:rsid w:val="00535B2C"/>
    <w:rsid w:val="00536BCC"/>
    <w:rsid w:val="00536DB0"/>
    <w:rsid w:val="005370E0"/>
    <w:rsid w:val="005375EB"/>
    <w:rsid w:val="0053791C"/>
    <w:rsid w:val="00547160"/>
    <w:rsid w:val="0056341D"/>
    <w:rsid w:val="005647A5"/>
    <w:rsid w:val="00565205"/>
    <w:rsid w:val="00571A38"/>
    <w:rsid w:val="00572B8C"/>
    <w:rsid w:val="005746C8"/>
    <w:rsid w:val="00591030"/>
    <w:rsid w:val="00596CE1"/>
    <w:rsid w:val="0059776B"/>
    <w:rsid w:val="005A6A55"/>
    <w:rsid w:val="005B5BBF"/>
    <w:rsid w:val="005C22E7"/>
    <w:rsid w:val="005C4AA6"/>
    <w:rsid w:val="005C6697"/>
    <w:rsid w:val="005D1ACB"/>
    <w:rsid w:val="005D40A5"/>
    <w:rsid w:val="005D533D"/>
    <w:rsid w:val="005D6672"/>
    <w:rsid w:val="005E009A"/>
    <w:rsid w:val="005E313C"/>
    <w:rsid w:val="005E33C0"/>
    <w:rsid w:val="005E53B9"/>
    <w:rsid w:val="005F159A"/>
    <w:rsid w:val="005F2758"/>
    <w:rsid w:val="005F6014"/>
    <w:rsid w:val="00604C5F"/>
    <w:rsid w:val="006144CD"/>
    <w:rsid w:val="00614E07"/>
    <w:rsid w:val="00615FCE"/>
    <w:rsid w:val="006167AB"/>
    <w:rsid w:val="006239D3"/>
    <w:rsid w:val="0062620F"/>
    <w:rsid w:val="00631FE3"/>
    <w:rsid w:val="00631FF5"/>
    <w:rsid w:val="0063266D"/>
    <w:rsid w:val="0063490F"/>
    <w:rsid w:val="00635206"/>
    <w:rsid w:val="00635EB5"/>
    <w:rsid w:val="00651662"/>
    <w:rsid w:val="00654AA1"/>
    <w:rsid w:val="006733E3"/>
    <w:rsid w:val="006806E0"/>
    <w:rsid w:val="006825BF"/>
    <w:rsid w:val="0068310F"/>
    <w:rsid w:val="006919C5"/>
    <w:rsid w:val="006923BF"/>
    <w:rsid w:val="0069324F"/>
    <w:rsid w:val="00697896"/>
    <w:rsid w:val="006A060E"/>
    <w:rsid w:val="006A21DE"/>
    <w:rsid w:val="006A4C4E"/>
    <w:rsid w:val="006A53FD"/>
    <w:rsid w:val="006A5BC5"/>
    <w:rsid w:val="006A72F3"/>
    <w:rsid w:val="006B2857"/>
    <w:rsid w:val="006B3776"/>
    <w:rsid w:val="006C37C6"/>
    <w:rsid w:val="006C6AA8"/>
    <w:rsid w:val="006D0FAF"/>
    <w:rsid w:val="006D26B9"/>
    <w:rsid w:val="006E26DB"/>
    <w:rsid w:val="006E71F7"/>
    <w:rsid w:val="006F172D"/>
    <w:rsid w:val="006F1888"/>
    <w:rsid w:val="006F5860"/>
    <w:rsid w:val="00703CC0"/>
    <w:rsid w:val="0070563B"/>
    <w:rsid w:val="00707B74"/>
    <w:rsid w:val="00712F85"/>
    <w:rsid w:val="00730489"/>
    <w:rsid w:val="0073453A"/>
    <w:rsid w:val="00745AE9"/>
    <w:rsid w:val="00746459"/>
    <w:rsid w:val="00750A80"/>
    <w:rsid w:val="0075356C"/>
    <w:rsid w:val="00754031"/>
    <w:rsid w:val="00763C5F"/>
    <w:rsid w:val="007641AD"/>
    <w:rsid w:val="00776455"/>
    <w:rsid w:val="00776D8B"/>
    <w:rsid w:val="00776F3A"/>
    <w:rsid w:val="007808E6"/>
    <w:rsid w:val="00781137"/>
    <w:rsid w:val="00782FC3"/>
    <w:rsid w:val="0078436D"/>
    <w:rsid w:val="00791D9C"/>
    <w:rsid w:val="00797D76"/>
    <w:rsid w:val="007A017A"/>
    <w:rsid w:val="007A063A"/>
    <w:rsid w:val="007A66EF"/>
    <w:rsid w:val="007B24C6"/>
    <w:rsid w:val="007C22D1"/>
    <w:rsid w:val="007D067C"/>
    <w:rsid w:val="007D19F4"/>
    <w:rsid w:val="007D4311"/>
    <w:rsid w:val="007D716D"/>
    <w:rsid w:val="007E07F4"/>
    <w:rsid w:val="007E11FB"/>
    <w:rsid w:val="007E2EF8"/>
    <w:rsid w:val="007E7F0C"/>
    <w:rsid w:val="007F17C8"/>
    <w:rsid w:val="007F4555"/>
    <w:rsid w:val="008010FA"/>
    <w:rsid w:val="00805204"/>
    <w:rsid w:val="00812E72"/>
    <w:rsid w:val="00813AD5"/>
    <w:rsid w:val="0081450A"/>
    <w:rsid w:val="00820AEC"/>
    <w:rsid w:val="00821251"/>
    <w:rsid w:val="0083267B"/>
    <w:rsid w:val="00840609"/>
    <w:rsid w:val="00841AF5"/>
    <w:rsid w:val="00842841"/>
    <w:rsid w:val="0085035B"/>
    <w:rsid w:val="008579D3"/>
    <w:rsid w:val="00863592"/>
    <w:rsid w:val="00870034"/>
    <w:rsid w:val="00870590"/>
    <w:rsid w:val="00882DFE"/>
    <w:rsid w:val="008848C1"/>
    <w:rsid w:val="00891C8E"/>
    <w:rsid w:val="0089587A"/>
    <w:rsid w:val="00896C7D"/>
    <w:rsid w:val="008A59B0"/>
    <w:rsid w:val="008C195A"/>
    <w:rsid w:val="008D469F"/>
    <w:rsid w:val="008D614A"/>
    <w:rsid w:val="008E0AC9"/>
    <w:rsid w:val="008E41CB"/>
    <w:rsid w:val="008E6756"/>
    <w:rsid w:val="008E7E62"/>
    <w:rsid w:val="008F3D06"/>
    <w:rsid w:val="008F502D"/>
    <w:rsid w:val="008F7A15"/>
    <w:rsid w:val="00900448"/>
    <w:rsid w:val="00902611"/>
    <w:rsid w:val="00902994"/>
    <w:rsid w:val="00902AF7"/>
    <w:rsid w:val="00910165"/>
    <w:rsid w:val="009267B9"/>
    <w:rsid w:val="0093522E"/>
    <w:rsid w:val="0094444F"/>
    <w:rsid w:val="0095062B"/>
    <w:rsid w:val="009515F6"/>
    <w:rsid w:val="009604EC"/>
    <w:rsid w:val="00971AD4"/>
    <w:rsid w:val="0097702F"/>
    <w:rsid w:val="009933E6"/>
    <w:rsid w:val="00995AAB"/>
    <w:rsid w:val="009A3482"/>
    <w:rsid w:val="009A4CF5"/>
    <w:rsid w:val="009A68B9"/>
    <w:rsid w:val="009A7B53"/>
    <w:rsid w:val="009B342F"/>
    <w:rsid w:val="009C1EF7"/>
    <w:rsid w:val="009C2F3B"/>
    <w:rsid w:val="009D109E"/>
    <w:rsid w:val="009D4420"/>
    <w:rsid w:val="009E47CB"/>
    <w:rsid w:val="009E4FC5"/>
    <w:rsid w:val="009E7EE5"/>
    <w:rsid w:val="009F6FDA"/>
    <w:rsid w:val="009F7A22"/>
    <w:rsid w:val="00A007FC"/>
    <w:rsid w:val="00A04177"/>
    <w:rsid w:val="00A106BB"/>
    <w:rsid w:val="00A14645"/>
    <w:rsid w:val="00A3512F"/>
    <w:rsid w:val="00A36772"/>
    <w:rsid w:val="00A42C23"/>
    <w:rsid w:val="00A440F6"/>
    <w:rsid w:val="00A50B96"/>
    <w:rsid w:val="00A5215A"/>
    <w:rsid w:val="00A60D03"/>
    <w:rsid w:val="00A83F3F"/>
    <w:rsid w:val="00A84984"/>
    <w:rsid w:val="00A912D1"/>
    <w:rsid w:val="00A915A1"/>
    <w:rsid w:val="00A91A18"/>
    <w:rsid w:val="00A93E7A"/>
    <w:rsid w:val="00AA0C79"/>
    <w:rsid w:val="00AA1270"/>
    <w:rsid w:val="00AA2987"/>
    <w:rsid w:val="00AA32EC"/>
    <w:rsid w:val="00AA40DE"/>
    <w:rsid w:val="00AA4DA3"/>
    <w:rsid w:val="00AB262E"/>
    <w:rsid w:val="00AB2F8A"/>
    <w:rsid w:val="00AC25DF"/>
    <w:rsid w:val="00AC7AAF"/>
    <w:rsid w:val="00AD02A9"/>
    <w:rsid w:val="00AD23DA"/>
    <w:rsid w:val="00AD2DDF"/>
    <w:rsid w:val="00AD3BBF"/>
    <w:rsid w:val="00AD4FC1"/>
    <w:rsid w:val="00AD6969"/>
    <w:rsid w:val="00AE27A3"/>
    <w:rsid w:val="00AE347E"/>
    <w:rsid w:val="00AE734A"/>
    <w:rsid w:val="00AF2677"/>
    <w:rsid w:val="00AF5369"/>
    <w:rsid w:val="00B03A19"/>
    <w:rsid w:val="00B12BAB"/>
    <w:rsid w:val="00B17345"/>
    <w:rsid w:val="00B3395E"/>
    <w:rsid w:val="00B34634"/>
    <w:rsid w:val="00B44C87"/>
    <w:rsid w:val="00B45AC4"/>
    <w:rsid w:val="00B4746B"/>
    <w:rsid w:val="00B50B1A"/>
    <w:rsid w:val="00B564E6"/>
    <w:rsid w:val="00B65A87"/>
    <w:rsid w:val="00B73129"/>
    <w:rsid w:val="00B81B13"/>
    <w:rsid w:val="00B902D0"/>
    <w:rsid w:val="00B933DF"/>
    <w:rsid w:val="00B97805"/>
    <w:rsid w:val="00BA5150"/>
    <w:rsid w:val="00BB0186"/>
    <w:rsid w:val="00BB0A2B"/>
    <w:rsid w:val="00BB68E4"/>
    <w:rsid w:val="00BC1A42"/>
    <w:rsid w:val="00BC37A2"/>
    <w:rsid w:val="00BC4F29"/>
    <w:rsid w:val="00BD2EF8"/>
    <w:rsid w:val="00BD3E3A"/>
    <w:rsid w:val="00BE109D"/>
    <w:rsid w:val="00BE5023"/>
    <w:rsid w:val="00BF0332"/>
    <w:rsid w:val="00BF6B51"/>
    <w:rsid w:val="00C00F0E"/>
    <w:rsid w:val="00C0566A"/>
    <w:rsid w:val="00C05AF2"/>
    <w:rsid w:val="00C10133"/>
    <w:rsid w:val="00C1363D"/>
    <w:rsid w:val="00C24316"/>
    <w:rsid w:val="00C32D60"/>
    <w:rsid w:val="00C343E1"/>
    <w:rsid w:val="00C476DD"/>
    <w:rsid w:val="00C52892"/>
    <w:rsid w:val="00C754CC"/>
    <w:rsid w:val="00C81690"/>
    <w:rsid w:val="00C81DBD"/>
    <w:rsid w:val="00C82F13"/>
    <w:rsid w:val="00C83BDA"/>
    <w:rsid w:val="00C841F1"/>
    <w:rsid w:val="00C8636B"/>
    <w:rsid w:val="00CA00A8"/>
    <w:rsid w:val="00CA3928"/>
    <w:rsid w:val="00CA39D8"/>
    <w:rsid w:val="00CC1119"/>
    <w:rsid w:val="00CC7085"/>
    <w:rsid w:val="00CD0414"/>
    <w:rsid w:val="00CD31A8"/>
    <w:rsid w:val="00CE5557"/>
    <w:rsid w:val="00CF177A"/>
    <w:rsid w:val="00D0164A"/>
    <w:rsid w:val="00D03D09"/>
    <w:rsid w:val="00D05EAC"/>
    <w:rsid w:val="00D075EC"/>
    <w:rsid w:val="00D11967"/>
    <w:rsid w:val="00D15095"/>
    <w:rsid w:val="00D24EBB"/>
    <w:rsid w:val="00D33060"/>
    <w:rsid w:val="00D333A2"/>
    <w:rsid w:val="00D352C9"/>
    <w:rsid w:val="00D44171"/>
    <w:rsid w:val="00D44523"/>
    <w:rsid w:val="00D44911"/>
    <w:rsid w:val="00D51850"/>
    <w:rsid w:val="00D715A2"/>
    <w:rsid w:val="00D7499F"/>
    <w:rsid w:val="00D86109"/>
    <w:rsid w:val="00D95323"/>
    <w:rsid w:val="00D96ADB"/>
    <w:rsid w:val="00D9718B"/>
    <w:rsid w:val="00D9796C"/>
    <w:rsid w:val="00DA752C"/>
    <w:rsid w:val="00DB68CA"/>
    <w:rsid w:val="00DC5F29"/>
    <w:rsid w:val="00DC7129"/>
    <w:rsid w:val="00DD4B91"/>
    <w:rsid w:val="00DD66AC"/>
    <w:rsid w:val="00DE292D"/>
    <w:rsid w:val="00DF2EF9"/>
    <w:rsid w:val="00E03CA2"/>
    <w:rsid w:val="00E056BA"/>
    <w:rsid w:val="00E101E8"/>
    <w:rsid w:val="00E12EC2"/>
    <w:rsid w:val="00E1527D"/>
    <w:rsid w:val="00E157C5"/>
    <w:rsid w:val="00E20364"/>
    <w:rsid w:val="00E20939"/>
    <w:rsid w:val="00E35F0B"/>
    <w:rsid w:val="00E4208E"/>
    <w:rsid w:val="00E4218B"/>
    <w:rsid w:val="00E43CA6"/>
    <w:rsid w:val="00E44724"/>
    <w:rsid w:val="00E53582"/>
    <w:rsid w:val="00E56DD3"/>
    <w:rsid w:val="00E576B9"/>
    <w:rsid w:val="00E61435"/>
    <w:rsid w:val="00E61B6C"/>
    <w:rsid w:val="00E6434B"/>
    <w:rsid w:val="00E65B47"/>
    <w:rsid w:val="00E723FF"/>
    <w:rsid w:val="00E72FBA"/>
    <w:rsid w:val="00E821BA"/>
    <w:rsid w:val="00E832C3"/>
    <w:rsid w:val="00E85E40"/>
    <w:rsid w:val="00E9135C"/>
    <w:rsid w:val="00E91BA6"/>
    <w:rsid w:val="00E9650F"/>
    <w:rsid w:val="00EA54CB"/>
    <w:rsid w:val="00EB1B86"/>
    <w:rsid w:val="00ED0997"/>
    <w:rsid w:val="00ED727D"/>
    <w:rsid w:val="00EE1FAC"/>
    <w:rsid w:val="00F202F1"/>
    <w:rsid w:val="00F216FD"/>
    <w:rsid w:val="00F3598D"/>
    <w:rsid w:val="00F51EDE"/>
    <w:rsid w:val="00F5419C"/>
    <w:rsid w:val="00F6180E"/>
    <w:rsid w:val="00F663D8"/>
    <w:rsid w:val="00F745C3"/>
    <w:rsid w:val="00F77662"/>
    <w:rsid w:val="00F959F2"/>
    <w:rsid w:val="00FA0D10"/>
    <w:rsid w:val="00FA4480"/>
    <w:rsid w:val="00FA45C7"/>
    <w:rsid w:val="00FA54E1"/>
    <w:rsid w:val="00FA6FBC"/>
    <w:rsid w:val="00FB4CC9"/>
    <w:rsid w:val="00FE4157"/>
    <w:rsid w:val="00FE7099"/>
    <w:rsid w:val="00FE76A9"/>
    <w:rsid w:val="00FE7804"/>
    <w:rsid w:val="00FF1567"/>
    <w:rsid w:val="00FF5819"/>
    <w:rsid w:val="20402585"/>
    <w:rsid w:val="32741766"/>
    <w:rsid w:val="51686151"/>
    <w:rsid w:val="7F18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ABC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64"/>
    <w:pPr>
      <w:spacing w:after="160" w:line="259" w:lineRule="auto"/>
    </w:pPr>
    <w:rPr>
      <w:rFonts w:ascii="Calibri" w:eastAsia="Calibri" w:hAnsi="Calibri"/>
      <w:sz w:val="22"/>
      <w:szCs w:val="22"/>
      <w:lang w:val="en-GB"/>
    </w:rPr>
  </w:style>
  <w:style w:type="paragraph" w:styleId="Heading1">
    <w:name w:val="heading 1"/>
    <w:basedOn w:val="Normal"/>
    <w:next w:val="Normal"/>
    <w:link w:val="Heading1Char"/>
    <w:uiPriority w:val="9"/>
    <w:qFormat/>
    <w:rsid w:val="00421B64"/>
    <w:pPr>
      <w:keepNext/>
      <w:keepLines/>
      <w:numPr>
        <w:numId w:val="1"/>
      </w:numPr>
      <w:shd w:val="clear" w:color="auto" w:fill="DBE5F1"/>
      <w:spacing w:before="480" w:after="240"/>
      <w:outlineLvl w:val="0"/>
    </w:pPr>
    <w:rPr>
      <w:rFonts w:ascii="Candara" w:hAnsi="Candara"/>
      <w:b/>
      <w:bCs/>
      <w:color w:val="1F497D"/>
      <w:sz w:val="36"/>
      <w:szCs w:val="28"/>
    </w:rPr>
  </w:style>
  <w:style w:type="paragraph" w:styleId="Heading2">
    <w:name w:val="heading 2"/>
    <w:basedOn w:val="Normal"/>
    <w:next w:val="Normal"/>
    <w:link w:val="Heading2Char"/>
    <w:uiPriority w:val="9"/>
    <w:unhideWhenUsed/>
    <w:qFormat/>
    <w:rsid w:val="00421B64"/>
    <w:pPr>
      <w:keepNext/>
      <w:keepLines/>
      <w:numPr>
        <w:ilvl w:val="1"/>
        <w:numId w:val="1"/>
      </w:numPr>
      <w:spacing w:before="200"/>
      <w:outlineLvl w:val="1"/>
    </w:pPr>
    <w:rPr>
      <w:rFonts w:ascii="Candara" w:hAnsi="Candara"/>
      <w:b/>
      <w:bCs/>
      <w:caps/>
      <w:color w:val="4F81BD"/>
      <w:sz w:val="28"/>
      <w:szCs w:val="26"/>
    </w:rPr>
  </w:style>
  <w:style w:type="paragraph" w:styleId="Heading3">
    <w:name w:val="heading 3"/>
    <w:basedOn w:val="Normal"/>
    <w:next w:val="Normal"/>
    <w:link w:val="Heading3Char"/>
    <w:uiPriority w:val="9"/>
    <w:unhideWhenUsed/>
    <w:qFormat/>
    <w:rsid w:val="00421B64"/>
    <w:pPr>
      <w:keepNext/>
      <w:keepLines/>
      <w:numPr>
        <w:ilvl w:val="2"/>
        <w:numId w:val="1"/>
      </w:numPr>
      <w:spacing w:before="200"/>
      <w:outlineLvl w:val="2"/>
    </w:pPr>
    <w:rPr>
      <w:rFonts w:ascii="Candara" w:hAnsi="Candara"/>
      <w:bCs/>
      <w:caps/>
      <w:color w:val="4F81BD"/>
    </w:rPr>
  </w:style>
  <w:style w:type="paragraph" w:styleId="Heading4">
    <w:name w:val="heading 4"/>
    <w:basedOn w:val="Normal"/>
    <w:next w:val="Normal"/>
    <w:link w:val="Heading4Char"/>
    <w:uiPriority w:val="9"/>
    <w:unhideWhenUsed/>
    <w:qFormat/>
    <w:rsid w:val="00421B64"/>
    <w:pPr>
      <w:keepNext/>
      <w:keepLines/>
      <w:numPr>
        <w:ilvl w:val="3"/>
        <w:numId w:val="1"/>
      </w:numPr>
      <w:spacing w:before="200" w:after="0"/>
      <w:outlineLvl w:val="3"/>
    </w:pPr>
    <w:rPr>
      <w:rFonts w:ascii="Candara" w:hAnsi="Candara"/>
      <w:b/>
      <w:bCs/>
      <w:iCs/>
      <w:color w:val="4F81BD"/>
    </w:rPr>
  </w:style>
  <w:style w:type="paragraph" w:styleId="Heading5">
    <w:name w:val="heading 5"/>
    <w:basedOn w:val="Normal"/>
    <w:next w:val="Normal"/>
    <w:link w:val="Heading5Char"/>
    <w:uiPriority w:val="9"/>
    <w:unhideWhenUsed/>
    <w:qFormat/>
    <w:rsid w:val="00421B64"/>
    <w:pPr>
      <w:keepNext/>
      <w:keepLines/>
      <w:numPr>
        <w:ilvl w:val="4"/>
        <w:numId w:val="1"/>
      </w:numPr>
      <w:spacing w:before="200" w:after="0"/>
      <w:outlineLvl w:val="4"/>
    </w:pPr>
    <w:rPr>
      <w:rFonts w:ascii="Candara" w:hAnsi="Candara"/>
      <w:i/>
      <w:color w:val="4F81BD"/>
    </w:rPr>
  </w:style>
  <w:style w:type="paragraph" w:styleId="Heading6">
    <w:name w:val="heading 6"/>
    <w:basedOn w:val="Normal"/>
    <w:next w:val="Normal"/>
    <w:link w:val="Heading6Char"/>
    <w:uiPriority w:val="9"/>
    <w:unhideWhenUsed/>
    <w:qFormat/>
    <w:rsid w:val="00421B64"/>
    <w:pPr>
      <w:keepNext/>
      <w:keepLines/>
      <w:numPr>
        <w:ilvl w:val="5"/>
        <w:numId w:val="1"/>
      </w:numPr>
      <w:spacing w:before="40" w:after="0"/>
      <w:outlineLvl w:val="5"/>
    </w:pPr>
    <w:rPr>
      <w:rFonts w:ascii="Cambria" w:hAnsi="Cambria"/>
      <w:color w:val="233E5F"/>
    </w:rPr>
  </w:style>
  <w:style w:type="paragraph" w:styleId="Heading7">
    <w:name w:val="heading 7"/>
    <w:basedOn w:val="Normal"/>
    <w:next w:val="Normal"/>
    <w:link w:val="Heading7Char"/>
    <w:uiPriority w:val="9"/>
    <w:unhideWhenUsed/>
    <w:qFormat/>
    <w:rsid w:val="00421B64"/>
    <w:pPr>
      <w:keepNext/>
      <w:keepLines/>
      <w:numPr>
        <w:ilvl w:val="6"/>
        <w:numId w:val="1"/>
      </w:numPr>
      <w:spacing w:before="40" w:after="0"/>
      <w:outlineLvl w:val="6"/>
    </w:pPr>
    <w:rPr>
      <w:rFonts w:ascii="Cambria" w:hAnsi="Cambria"/>
      <w:i/>
      <w:iCs/>
      <w:color w:val="233E5F"/>
    </w:rPr>
  </w:style>
  <w:style w:type="paragraph" w:styleId="Heading8">
    <w:name w:val="heading 8"/>
    <w:basedOn w:val="Normal"/>
    <w:next w:val="Normal"/>
    <w:link w:val="Heading8Char"/>
    <w:uiPriority w:val="9"/>
    <w:unhideWhenUsed/>
    <w:qFormat/>
    <w:rsid w:val="00421B64"/>
    <w:pPr>
      <w:keepNext/>
      <w:keepLines/>
      <w:numPr>
        <w:ilvl w:val="7"/>
        <w:numId w:val="1"/>
      </w:numPr>
      <w:spacing w:before="40" w:after="0"/>
      <w:outlineLvl w:val="7"/>
    </w:pPr>
    <w:rPr>
      <w:rFonts w:ascii="Cambria" w:hAnsi="Cambria"/>
      <w:color w:val="262626"/>
      <w:sz w:val="21"/>
      <w:szCs w:val="21"/>
    </w:rPr>
  </w:style>
  <w:style w:type="paragraph" w:styleId="Heading9">
    <w:name w:val="heading 9"/>
    <w:basedOn w:val="Normal"/>
    <w:next w:val="Normal"/>
    <w:link w:val="Heading9Char"/>
    <w:uiPriority w:val="9"/>
    <w:unhideWhenUsed/>
    <w:qFormat/>
    <w:rsid w:val="00421B64"/>
    <w:pPr>
      <w:keepNext/>
      <w:keepLines/>
      <w:numPr>
        <w:ilvl w:val="8"/>
        <w:numId w:val="1"/>
      </w:numPr>
      <w:spacing w:before="40" w:after="0"/>
      <w:outlineLvl w:val="8"/>
    </w:pPr>
    <w:rPr>
      <w:rFonts w:ascii="Cambria" w:hAnsi="Cambria"/>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1B6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421B64"/>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421B64"/>
    <w:rPr>
      <w:b/>
      <w:bCs/>
    </w:rPr>
  </w:style>
  <w:style w:type="paragraph" w:styleId="EndnoteText">
    <w:name w:val="endnote text"/>
    <w:basedOn w:val="Normal"/>
    <w:link w:val="EndnoteTextChar"/>
    <w:uiPriority w:val="99"/>
    <w:unhideWhenUsed/>
    <w:rsid w:val="00421B64"/>
    <w:pPr>
      <w:spacing w:after="0" w:line="240" w:lineRule="auto"/>
    </w:pPr>
    <w:rPr>
      <w:sz w:val="20"/>
      <w:szCs w:val="20"/>
    </w:rPr>
  </w:style>
  <w:style w:type="paragraph" w:styleId="Footer">
    <w:name w:val="footer"/>
    <w:basedOn w:val="Normal"/>
    <w:link w:val="FooterChar"/>
    <w:uiPriority w:val="99"/>
    <w:unhideWhenUsed/>
    <w:rsid w:val="00421B64"/>
    <w:pPr>
      <w:tabs>
        <w:tab w:val="center" w:pos="4513"/>
        <w:tab w:val="right" w:pos="9026"/>
      </w:tabs>
      <w:spacing w:after="0" w:line="240" w:lineRule="auto"/>
    </w:pPr>
  </w:style>
  <w:style w:type="paragraph" w:styleId="FootnoteText">
    <w:name w:val="footnote text"/>
    <w:basedOn w:val="Normal"/>
    <w:link w:val="FootnoteTextChar"/>
    <w:uiPriority w:val="99"/>
    <w:unhideWhenUsed/>
    <w:rsid w:val="00421B64"/>
    <w:pPr>
      <w:spacing w:after="0" w:line="240" w:lineRule="auto"/>
    </w:pPr>
    <w:rPr>
      <w:sz w:val="20"/>
      <w:szCs w:val="20"/>
    </w:rPr>
  </w:style>
  <w:style w:type="paragraph" w:styleId="Header">
    <w:name w:val="header"/>
    <w:basedOn w:val="Normal"/>
    <w:link w:val="HeaderChar"/>
    <w:uiPriority w:val="99"/>
    <w:unhideWhenUsed/>
    <w:rsid w:val="00421B64"/>
    <w:pPr>
      <w:tabs>
        <w:tab w:val="center" w:pos="4513"/>
        <w:tab w:val="right" w:pos="9026"/>
      </w:tabs>
      <w:spacing w:after="0" w:line="240" w:lineRule="auto"/>
    </w:pPr>
  </w:style>
  <w:style w:type="paragraph" w:styleId="Subtitle">
    <w:name w:val="Subtitle"/>
    <w:basedOn w:val="Normal"/>
    <w:next w:val="Normal"/>
    <w:link w:val="SubtitleChar"/>
    <w:uiPriority w:val="11"/>
    <w:qFormat/>
    <w:rsid w:val="00421B64"/>
    <w:rPr>
      <w:rFonts w:ascii="Candara" w:hAnsi="Candara"/>
      <w:b/>
      <w:iCs/>
      <w:color w:val="4F81BD"/>
      <w:spacing w:val="15"/>
      <w:sz w:val="36"/>
    </w:rPr>
  </w:style>
  <w:style w:type="paragraph" w:styleId="Title">
    <w:name w:val="Title"/>
    <w:basedOn w:val="Normal"/>
    <w:next w:val="Normal"/>
    <w:link w:val="TitleChar"/>
    <w:uiPriority w:val="10"/>
    <w:qFormat/>
    <w:rsid w:val="00421B64"/>
    <w:pPr>
      <w:pBdr>
        <w:bottom w:val="single" w:sz="8" w:space="4" w:color="4F81BD"/>
      </w:pBdr>
      <w:spacing w:after="300" w:line="240" w:lineRule="auto"/>
      <w:contextualSpacing/>
    </w:pPr>
    <w:rPr>
      <w:rFonts w:ascii="Candara" w:hAnsi="Candara"/>
      <w:color w:val="16365C"/>
      <w:spacing w:val="5"/>
      <w:kern w:val="28"/>
      <w:sz w:val="52"/>
      <w:szCs w:val="52"/>
    </w:rPr>
  </w:style>
  <w:style w:type="paragraph" w:styleId="TOC1">
    <w:name w:val="toc 1"/>
    <w:basedOn w:val="Normal"/>
    <w:next w:val="Normal"/>
    <w:uiPriority w:val="39"/>
    <w:unhideWhenUsed/>
    <w:rsid w:val="00421B64"/>
    <w:pPr>
      <w:spacing w:after="100"/>
    </w:pPr>
  </w:style>
  <w:style w:type="paragraph" w:styleId="TOC2">
    <w:name w:val="toc 2"/>
    <w:basedOn w:val="Normal"/>
    <w:next w:val="Normal"/>
    <w:uiPriority w:val="39"/>
    <w:unhideWhenUsed/>
    <w:rsid w:val="00421B64"/>
    <w:pPr>
      <w:spacing w:after="100"/>
      <w:ind w:left="220"/>
    </w:pPr>
  </w:style>
  <w:style w:type="paragraph" w:styleId="TOC3">
    <w:name w:val="toc 3"/>
    <w:basedOn w:val="Normal"/>
    <w:next w:val="Normal"/>
    <w:uiPriority w:val="39"/>
    <w:unhideWhenUsed/>
    <w:rsid w:val="00421B64"/>
    <w:pPr>
      <w:spacing w:after="100"/>
      <w:ind w:left="440"/>
    </w:pPr>
  </w:style>
  <w:style w:type="character" w:styleId="CommentReference">
    <w:name w:val="annotation reference"/>
    <w:basedOn w:val="DefaultParagraphFont"/>
    <w:uiPriority w:val="99"/>
    <w:unhideWhenUsed/>
    <w:rsid w:val="00421B64"/>
    <w:rPr>
      <w:sz w:val="16"/>
      <w:szCs w:val="16"/>
    </w:rPr>
  </w:style>
  <w:style w:type="character" w:styleId="EndnoteReference">
    <w:name w:val="endnote reference"/>
    <w:basedOn w:val="DefaultParagraphFont"/>
    <w:uiPriority w:val="99"/>
    <w:unhideWhenUsed/>
    <w:rsid w:val="00421B64"/>
    <w:rPr>
      <w:vertAlign w:val="superscript"/>
    </w:rPr>
  </w:style>
  <w:style w:type="character" w:styleId="FootnoteReference">
    <w:name w:val="footnote reference"/>
    <w:basedOn w:val="DefaultParagraphFont"/>
    <w:uiPriority w:val="99"/>
    <w:unhideWhenUsed/>
    <w:rsid w:val="00421B64"/>
    <w:rPr>
      <w:vertAlign w:val="superscript"/>
    </w:rPr>
  </w:style>
  <w:style w:type="character" w:styleId="Hyperlink">
    <w:name w:val="Hyperlink"/>
    <w:basedOn w:val="DefaultParagraphFont"/>
    <w:uiPriority w:val="99"/>
    <w:unhideWhenUsed/>
    <w:rsid w:val="00421B64"/>
    <w:rPr>
      <w:color w:val="0000FF"/>
      <w:u w:val="single"/>
    </w:rPr>
  </w:style>
  <w:style w:type="paragraph" w:customStyle="1" w:styleId="TOCHeading1">
    <w:name w:val="TOC Heading1"/>
    <w:basedOn w:val="Heading1"/>
    <w:next w:val="Normal"/>
    <w:uiPriority w:val="39"/>
    <w:unhideWhenUsed/>
    <w:qFormat/>
    <w:rsid w:val="00421B64"/>
    <w:pPr>
      <w:outlineLvl w:val="9"/>
    </w:pPr>
    <w:rPr>
      <w:rFonts w:ascii="Cambria" w:hAnsi="Cambria"/>
      <w:lang w:eastAsia="ja-JP"/>
    </w:rPr>
  </w:style>
  <w:style w:type="paragraph" w:customStyle="1" w:styleId="NoSpacing1">
    <w:name w:val="No Spacing1"/>
    <w:link w:val="NoSpacingChar"/>
    <w:uiPriority w:val="1"/>
    <w:qFormat/>
    <w:rsid w:val="00421B64"/>
    <w:rPr>
      <w:rFonts w:ascii="Calibri" w:eastAsia="Calibri" w:hAnsi="Calibri"/>
      <w:sz w:val="24"/>
      <w:szCs w:val="24"/>
      <w:lang w:eastAsia="ja-JP"/>
    </w:rPr>
  </w:style>
  <w:style w:type="paragraph" w:customStyle="1" w:styleId="ListParagraph1">
    <w:name w:val="List Paragraph1"/>
    <w:basedOn w:val="Normal"/>
    <w:uiPriority w:val="34"/>
    <w:qFormat/>
    <w:rsid w:val="00421B64"/>
    <w:pPr>
      <w:ind w:left="720"/>
      <w:contextualSpacing/>
    </w:pPr>
  </w:style>
  <w:style w:type="character" w:customStyle="1" w:styleId="HeaderChar">
    <w:name w:val="Header Char"/>
    <w:basedOn w:val="DefaultParagraphFont"/>
    <w:link w:val="Header"/>
    <w:uiPriority w:val="99"/>
    <w:rsid w:val="00421B64"/>
  </w:style>
  <w:style w:type="character" w:customStyle="1" w:styleId="FooterChar">
    <w:name w:val="Footer Char"/>
    <w:basedOn w:val="DefaultParagraphFont"/>
    <w:link w:val="Footer"/>
    <w:uiPriority w:val="99"/>
    <w:rsid w:val="00421B64"/>
  </w:style>
  <w:style w:type="character" w:customStyle="1" w:styleId="BalloonTextChar">
    <w:name w:val="Balloon Text Char"/>
    <w:basedOn w:val="DefaultParagraphFont"/>
    <w:link w:val="BalloonText"/>
    <w:uiPriority w:val="99"/>
    <w:semiHidden/>
    <w:rsid w:val="00421B64"/>
    <w:rPr>
      <w:rFonts w:ascii="Tahoma" w:hAnsi="Tahoma" w:cs="Tahoma"/>
      <w:sz w:val="16"/>
      <w:szCs w:val="16"/>
    </w:rPr>
  </w:style>
  <w:style w:type="character" w:customStyle="1" w:styleId="TitleChar">
    <w:name w:val="Title Char"/>
    <w:basedOn w:val="DefaultParagraphFont"/>
    <w:link w:val="Title"/>
    <w:uiPriority w:val="10"/>
    <w:rsid w:val="00421B64"/>
    <w:rPr>
      <w:rFonts w:ascii="Candara" w:hAnsi="Candara"/>
      <w:color w:val="16365C"/>
      <w:spacing w:val="5"/>
      <w:kern w:val="28"/>
      <w:sz w:val="52"/>
      <w:szCs w:val="52"/>
    </w:rPr>
  </w:style>
  <w:style w:type="character" w:customStyle="1" w:styleId="Heading1Char">
    <w:name w:val="Heading 1 Char"/>
    <w:basedOn w:val="DefaultParagraphFont"/>
    <w:link w:val="Heading1"/>
    <w:uiPriority w:val="9"/>
    <w:rsid w:val="00421B64"/>
    <w:rPr>
      <w:rFonts w:ascii="Candara" w:eastAsia="Calibri" w:hAnsi="Candara"/>
      <w:b/>
      <w:bCs/>
      <w:color w:val="1F497D"/>
      <w:sz w:val="36"/>
      <w:szCs w:val="28"/>
      <w:shd w:val="clear" w:color="auto" w:fill="DBE5F1"/>
      <w:lang w:val="en-GB"/>
    </w:rPr>
  </w:style>
  <w:style w:type="character" w:customStyle="1" w:styleId="Heading2Char">
    <w:name w:val="Heading 2 Char"/>
    <w:basedOn w:val="DefaultParagraphFont"/>
    <w:link w:val="Heading2"/>
    <w:uiPriority w:val="9"/>
    <w:rsid w:val="00421B64"/>
    <w:rPr>
      <w:rFonts w:ascii="Candara" w:eastAsia="Calibri" w:hAnsi="Candara"/>
      <w:b/>
      <w:bCs/>
      <w:caps/>
      <w:color w:val="4F81BD"/>
      <w:sz w:val="28"/>
      <w:szCs w:val="26"/>
      <w:lang w:val="en-GB"/>
    </w:rPr>
  </w:style>
  <w:style w:type="character" w:customStyle="1" w:styleId="SubtitleChar">
    <w:name w:val="Subtitle Char"/>
    <w:basedOn w:val="DefaultParagraphFont"/>
    <w:link w:val="Subtitle"/>
    <w:uiPriority w:val="11"/>
    <w:rsid w:val="00421B64"/>
    <w:rPr>
      <w:rFonts w:ascii="Candara" w:hAnsi="Candara"/>
      <w:b/>
      <w:iCs/>
      <w:color w:val="4F81BD"/>
      <w:spacing w:val="15"/>
      <w:sz w:val="36"/>
      <w:szCs w:val="24"/>
    </w:rPr>
  </w:style>
  <w:style w:type="character" w:customStyle="1" w:styleId="NoSpacingChar">
    <w:name w:val="No Spacing Char"/>
    <w:basedOn w:val="DefaultParagraphFont"/>
    <w:link w:val="NoSpacing1"/>
    <w:uiPriority w:val="1"/>
    <w:rsid w:val="00421B64"/>
    <w:rPr>
      <w:rFonts w:ascii="Calibri" w:eastAsia="Calibri" w:hAnsi="Calibri"/>
      <w:sz w:val="24"/>
      <w:szCs w:val="24"/>
      <w:lang w:val="en-US" w:eastAsia="ja-JP" w:bidi="ar-SA"/>
    </w:rPr>
  </w:style>
  <w:style w:type="character" w:customStyle="1" w:styleId="PlaceholderText1">
    <w:name w:val="Placeholder Text1"/>
    <w:basedOn w:val="DefaultParagraphFont"/>
    <w:uiPriority w:val="99"/>
    <w:semiHidden/>
    <w:rsid w:val="00421B64"/>
    <w:rPr>
      <w:color w:val="808080"/>
    </w:rPr>
  </w:style>
  <w:style w:type="character" w:customStyle="1" w:styleId="Heading3Char">
    <w:name w:val="Heading 3 Char"/>
    <w:basedOn w:val="DefaultParagraphFont"/>
    <w:link w:val="Heading3"/>
    <w:uiPriority w:val="9"/>
    <w:rsid w:val="00421B64"/>
    <w:rPr>
      <w:rFonts w:ascii="Candara" w:eastAsia="Calibri" w:hAnsi="Candara"/>
      <w:bCs/>
      <w:caps/>
      <w:color w:val="4F81BD"/>
      <w:sz w:val="22"/>
      <w:szCs w:val="22"/>
      <w:lang w:val="en-GB"/>
    </w:rPr>
  </w:style>
  <w:style w:type="character" w:customStyle="1" w:styleId="Heading4Char">
    <w:name w:val="Heading 4 Char"/>
    <w:basedOn w:val="DefaultParagraphFont"/>
    <w:link w:val="Heading4"/>
    <w:uiPriority w:val="9"/>
    <w:rsid w:val="00421B64"/>
    <w:rPr>
      <w:rFonts w:ascii="Candara" w:eastAsia="Calibri" w:hAnsi="Candara"/>
      <w:b/>
      <w:bCs/>
      <w:iCs/>
      <w:color w:val="4F81BD"/>
      <w:sz w:val="22"/>
      <w:szCs w:val="22"/>
      <w:lang w:val="en-GB"/>
    </w:rPr>
  </w:style>
  <w:style w:type="character" w:customStyle="1" w:styleId="Heading5Char">
    <w:name w:val="Heading 5 Char"/>
    <w:basedOn w:val="DefaultParagraphFont"/>
    <w:link w:val="Heading5"/>
    <w:uiPriority w:val="9"/>
    <w:rsid w:val="00421B64"/>
    <w:rPr>
      <w:rFonts w:ascii="Candara" w:eastAsia="Calibri" w:hAnsi="Candara"/>
      <w:i/>
      <w:color w:val="4F81BD"/>
      <w:sz w:val="22"/>
      <w:szCs w:val="22"/>
      <w:lang w:val="en-GB"/>
    </w:rPr>
  </w:style>
  <w:style w:type="character" w:customStyle="1" w:styleId="Heading6Char">
    <w:name w:val="Heading 6 Char"/>
    <w:basedOn w:val="DefaultParagraphFont"/>
    <w:link w:val="Heading6"/>
    <w:uiPriority w:val="9"/>
    <w:rsid w:val="00421B64"/>
    <w:rPr>
      <w:rFonts w:ascii="Cambria" w:eastAsia="Calibri" w:hAnsi="Cambria"/>
      <w:color w:val="233E5F"/>
      <w:sz w:val="22"/>
      <w:szCs w:val="22"/>
      <w:lang w:val="en-GB"/>
    </w:rPr>
  </w:style>
  <w:style w:type="character" w:customStyle="1" w:styleId="Heading7Char">
    <w:name w:val="Heading 7 Char"/>
    <w:basedOn w:val="DefaultParagraphFont"/>
    <w:link w:val="Heading7"/>
    <w:uiPriority w:val="9"/>
    <w:rsid w:val="00421B64"/>
    <w:rPr>
      <w:rFonts w:ascii="Cambria" w:eastAsia="Calibri" w:hAnsi="Cambria"/>
      <w:i/>
      <w:iCs/>
      <w:color w:val="233E5F"/>
      <w:sz w:val="22"/>
      <w:szCs w:val="22"/>
      <w:lang w:val="en-GB"/>
    </w:rPr>
  </w:style>
  <w:style w:type="character" w:customStyle="1" w:styleId="Heading8Char">
    <w:name w:val="Heading 8 Char"/>
    <w:basedOn w:val="DefaultParagraphFont"/>
    <w:link w:val="Heading8"/>
    <w:uiPriority w:val="9"/>
    <w:rsid w:val="00421B64"/>
    <w:rPr>
      <w:rFonts w:ascii="Cambria" w:eastAsia="Calibri" w:hAnsi="Cambria"/>
      <w:color w:val="262626"/>
      <w:sz w:val="21"/>
      <w:szCs w:val="21"/>
      <w:lang w:val="en-GB"/>
    </w:rPr>
  </w:style>
  <w:style w:type="character" w:customStyle="1" w:styleId="Heading9Char">
    <w:name w:val="Heading 9 Char"/>
    <w:basedOn w:val="DefaultParagraphFont"/>
    <w:link w:val="Heading9"/>
    <w:uiPriority w:val="9"/>
    <w:rsid w:val="00421B64"/>
    <w:rPr>
      <w:rFonts w:ascii="Cambria" w:eastAsia="Calibri" w:hAnsi="Cambria"/>
      <w:i/>
      <w:iCs/>
      <w:color w:val="262626"/>
      <w:sz w:val="21"/>
      <w:szCs w:val="21"/>
      <w:lang w:val="en-GB"/>
    </w:rPr>
  </w:style>
  <w:style w:type="character" w:customStyle="1" w:styleId="EndnoteTextChar">
    <w:name w:val="Endnote Text Char"/>
    <w:basedOn w:val="DefaultParagraphFont"/>
    <w:link w:val="EndnoteText"/>
    <w:uiPriority w:val="99"/>
    <w:rsid w:val="00421B64"/>
    <w:rPr>
      <w:sz w:val="20"/>
      <w:szCs w:val="20"/>
    </w:rPr>
  </w:style>
  <w:style w:type="character" w:customStyle="1" w:styleId="CommentTextChar">
    <w:name w:val="Comment Text Char"/>
    <w:basedOn w:val="DefaultParagraphFont"/>
    <w:link w:val="CommentText"/>
    <w:uiPriority w:val="99"/>
    <w:rsid w:val="00421B64"/>
    <w:rPr>
      <w:sz w:val="20"/>
      <w:szCs w:val="20"/>
    </w:rPr>
  </w:style>
  <w:style w:type="character" w:customStyle="1" w:styleId="CommentSubjectChar">
    <w:name w:val="Comment Subject Char"/>
    <w:basedOn w:val="CommentTextChar"/>
    <w:link w:val="CommentSubject"/>
    <w:uiPriority w:val="99"/>
    <w:semiHidden/>
    <w:rsid w:val="00421B64"/>
    <w:rPr>
      <w:b/>
      <w:bCs/>
      <w:sz w:val="20"/>
      <w:szCs w:val="20"/>
    </w:rPr>
  </w:style>
  <w:style w:type="character" w:customStyle="1" w:styleId="FootnoteTextChar">
    <w:name w:val="Footnote Text Char"/>
    <w:basedOn w:val="DefaultParagraphFont"/>
    <w:link w:val="FootnoteText"/>
    <w:uiPriority w:val="99"/>
    <w:semiHidden/>
    <w:rsid w:val="00421B64"/>
    <w:rPr>
      <w:sz w:val="20"/>
      <w:szCs w:val="20"/>
    </w:rPr>
  </w:style>
  <w:style w:type="paragraph" w:styleId="Revision">
    <w:name w:val="Revision"/>
    <w:hidden/>
    <w:uiPriority w:val="99"/>
    <w:unhideWhenUsed/>
    <w:rsid w:val="00E56DD3"/>
    <w:rPr>
      <w:rFonts w:ascii="Calibri" w:eastAsia="Calibri" w:hAnsi="Calibri"/>
      <w:sz w:val="22"/>
      <w:szCs w:val="22"/>
    </w:rPr>
  </w:style>
  <w:style w:type="paragraph" w:styleId="ListParagraph">
    <w:name w:val="List Paragraph"/>
    <w:basedOn w:val="Normal"/>
    <w:uiPriority w:val="34"/>
    <w:qFormat/>
    <w:rsid w:val="002C3B8A"/>
    <w:pPr>
      <w:ind w:left="720"/>
      <w:contextualSpacing/>
    </w:pPr>
  </w:style>
  <w:style w:type="paragraph" w:styleId="TOCHeading">
    <w:name w:val="TOC Heading"/>
    <w:basedOn w:val="Heading1"/>
    <w:next w:val="Normal"/>
    <w:uiPriority w:val="39"/>
    <w:unhideWhenUsed/>
    <w:qFormat/>
    <w:rsid w:val="00514694"/>
    <w:pPr>
      <w:numPr>
        <w:numId w:val="0"/>
      </w:numPr>
      <w:shd w:val="clear" w:color="auto" w:fill="auto"/>
      <w:spacing w:before="240" w:after="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UnresolvedMention">
    <w:name w:val="Unresolved Mention"/>
    <w:basedOn w:val="DefaultParagraphFont"/>
    <w:uiPriority w:val="99"/>
    <w:semiHidden/>
    <w:unhideWhenUsed/>
    <w:rsid w:val="006B2857"/>
    <w:rPr>
      <w:color w:val="808080"/>
      <w:shd w:val="clear" w:color="auto" w:fill="E6E6E6"/>
    </w:rPr>
  </w:style>
  <w:style w:type="character" w:styleId="FollowedHyperlink">
    <w:name w:val="FollowedHyperlink"/>
    <w:basedOn w:val="DefaultParagraphFont"/>
    <w:semiHidden/>
    <w:unhideWhenUsed/>
    <w:rsid w:val="005647A5"/>
    <w:rPr>
      <w:color w:val="800080" w:themeColor="followedHyperlink"/>
      <w:u w:val="single"/>
    </w:rPr>
  </w:style>
  <w:style w:type="character" w:customStyle="1" w:styleId="FootnoteTextChar1">
    <w:name w:val="Footnote Text Char1"/>
    <w:basedOn w:val="DefaultParagraphFont"/>
    <w:uiPriority w:val="99"/>
    <w:semiHidden/>
    <w:rsid w:val="004800B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64"/>
    <w:pPr>
      <w:spacing w:after="160" w:line="259" w:lineRule="auto"/>
    </w:pPr>
    <w:rPr>
      <w:rFonts w:ascii="Calibri" w:eastAsia="Calibri" w:hAnsi="Calibri"/>
      <w:sz w:val="22"/>
      <w:szCs w:val="22"/>
      <w:lang w:val="en-GB"/>
    </w:rPr>
  </w:style>
  <w:style w:type="paragraph" w:styleId="Heading1">
    <w:name w:val="heading 1"/>
    <w:basedOn w:val="Normal"/>
    <w:next w:val="Normal"/>
    <w:link w:val="Heading1Char"/>
    <w:uiPriority w:val="9"/>
    <w:qFormat/>
    <w:rsid w:val="00421B64"/>
    <w:pPr>
      <w:keepNext/>
      <w:keepLines/>
      <w:numPr>
        <w:numId w:val="1"/>
      </w:numPr>
      <w:shd w:val="clear" w:color="auto" w:fill="DBE5F1"/>
      <w:spacing w:before="480" w:after="240"/>
      <w:outlineLvl w:val="0"/>
    </w:pPr>
    <w:rPr>
      <w:rFonts w:ascii="Candara" w:hAnsi="Candara"/>
      <w:b/>
      <w:bCs/>
      <w:color w:val="1F497D"/>
      <w:sz w:val="36"/>
      <w:szCs w:val="28"/>
    </w:rPr>
  </w:style>
  <w:style w:type="paragraph" w:styleId="Heading2">
    <w:name w:val="heading 2"/>
    <w:basedOn w:val="Normal"/>
    <w:next w:val="Normal"/>
    <w:link w:val="Heading2Char"/>
    <w:uiPriority w:val="9"/>
    <w:unhideWhenUsed/>
    <w:qFormat/>
    <w:rsid w:val="00421B64"/>
    <w:pPr>
      <w:keepNext/>
      <w:keepLines/>
      <w:numPr>
        <w:ilvl w:val="1"/>
        <w:numId w:val="1"/>
      </w:numPr>
      <w:spacing w:before="200"/>
      <w:outlineLvl w:val="1"/>
    </w:pPr>
    <w:rPr>
      <w:rFonts w:ascii="Candara" w:hAnsi="Candara"/>
      <w:b/>
      <w:bCs/>
      <w:caps/>
      <w:color w:val="4F81BD"/>
      <w:sz w:val="28"/>
      <w:szCs w:val="26"/>
    </w:rPr>
  </w:style>
  <w:style w:type="paragraph" w:styleId="Heading3">
    <w:name w:val="heading 3"/>
    <w:basedOn w:val="Normal"/>
    <w:next w:val="Normal"/>
    <w:link w:val="Heading3Char"/>
    <w:uiPriority w:val="9"/>
    <w:unhideWhenUsed/>
    <w:qFormat/>
    <w:rsid w:val="00421B64"/>
    <w:pPr>
      <w:keepNext/>
      <w:keepLines/>
      <w:numPr>
        <w:ilvl w:val="2"/>
        <w:numId w:val="1"/>
      </w:numPr>
      <w:spacing w:before="200"/>
      <w:outlineLvl w:val="2"/>
    </w:pPr>
    <w:rPr>
      <w:rFonts w:ascii="Candara" w:hAnsi="Candara"/>
      <w:bCs/>
      <w:caps/>
      <w:color w:val="4F81BD"/>
    </w:rPr>
  </w:style>
  <w:style w:type="paragraph" w:styleId="Heading4">
    <w:name w:val="heading 4"/>
    <w:basedOn w:val="Normal"/>
    <w:next w:val="Normal"/>
    <w:link w:val="Heading4Char"/>
    <w:uiPriority w:val="9"/>
    <w:unhideWhenUsed/>
    <w:qFormat/>
    <w:rsid w:val="00421B64"/>
    <w:pPr>
      <w:keepNext/>
      <w:keepLines/>
      <w:numPr>
        <w:ilvl w:val="3"/>
        <w:numId w:val="1"/>
      </w:numPr>
      <w:spacing w:before="200" w:after="0"/>
      <w:outlineLvl w:val="3"/>
    </w:pPr>
    <w:rPr>
      <w:rFonts w:ascii="Candara" w:hAnsi="Candara"/>
      <w:b/>
      <w:bCs/>
      <w:iCs/>
      <w:color w:val="4F81BD"/>
    </w:rPr>
  </w:style>
  <w:style w:type="paragraph" w:styleId="Heading5">
    <w:name w:val="heading 5"/>
    <w:basedOn w:val="Normal"/>
    <w:next w:val="Normal"/>
    <w:link w:val="Heading5Char"/>
    <w:uiPriority w:val="9"/>
    <w:unhideWhenUsed/>
    <w:qFormat/>
    <w:rsid w:val="00421B64"/>
    <w:pPr>
      <w:keepNext/>
      <w:keepLines/>
      <w:numPr>
        <w:ilvl w:val="4"/>
        <w:numId w:val="1"/>
      </w:numPr>
      <w:spacing w:before="200" w:after="0"/>
      <w:outlineLvl w:val="4"/>
    </w:pPr>
    <w:rPr>
      <w:rFonts w:ascii="Candara" w:hAnsi="Candara"/>
      <w:i/>
      <w:color w:val="4F81BD"/>
    </w:rPr>
  </w:style>
  <w:style w:type="paragraph" w:styleId="Heading6">
    <w:name w:val="heading 6"/>
    <w:basedOn w:val="Normal"/>
    <w:next w:val="Normal"/>
    <w:link w:val="Heading6Char"/>
    <w:uiPriority w:val="9"/>
    <w:unhideWhenUsed/>
    <w:qFormat/>
    <w:rsid w:val="00421B64"/>
    <w:pPr>
      <w:keepNext/>
      <w:keepLines/>
      <w:numPr>
        <w:ilvl w:val="5"/>
        <w:numId w:val="1"/>
      </w:numPr>
      <w:spacing w:before="40" w:after="0"/>
      <w:outlineLvl w:val="5"/>
    </w:pPr>
    <w:rPr>
      <w:rFonts w:ascii="Cambria" w:hAnsi="Cambria"/>
      <w:color w:val="233E5F"/>
    </w:rPr>
  </w:style>
  <w:style w:type="paragraph" w:styleId="Heading7">
    <w:name w:val="heading 7"/>
    <w:basedOn w:val="Normal"/>
    <w:next w:val="Normal"/>
    <w:link w:val="Heading7Char"/>
    <w:uiPriority w:val="9"/>
    <w:unhideWhenUsed/>
    <w:qFormat/>
    <w:rsid w:val="00421B64"/>
    <w:pPr>
      <w:keepNext/>
      <w:keepLines/>
      <w:numPr>
        <w:ilvl w:val="6"/>
        <w:numId w:val="1"/>
      </w:numPr>
      <w:spacing w:before="40" w:after="0"/>
      <w:outlineLvl w:val="6"/>
    </w:pPr>
    <w:rPr>
      <w:rFonts w:ascii="Cambria" w:hAnsi="Cambria"/>
      <w:i/>
      <w:iCs/>
      <w:color w:val="233E5F"/>
    </w:rPr>
  </w:style>
  <w:style w:type="paragraph" w:styleId="Heading8">
    <w:name w:val="heading 8"/>
    <w:basedOn w:val="Normal"/>
    <w:next w:val="Normal"/>
    <w:link w:val="Heading8Char"/>
    <w:uiPriority w:val="9"/>
    <w:unhideWhenUsed/>
    <w:qFormat/>
    <w:rsid w:val="00421B64"/>
    <w:pPr>
      <w:keepNext/>
      <w:keepLines/>
      <w:numPr>
        <w:ilvl w:val="7"/>
        <w:numId w:val="1"/>
      </w:numPr>
      <w:spacing w:before="40" w:after="0"/>
      <w:outlineLvl w:val="7"/>
    </w:pPr>
    <w:rPr>
      <w:rFonts w:ascii="Cambria" w:hAnsi="Cambria"/>
      <w:color w:val="262626"/>
      <w:sz w:val="21"/>
      <w:szCs w:val="21"/>
    </w:rPr>
  </w:style>
  <w:style w:type="paragraph" w:styleId="Heading9">
    <w:name w:val="heading 9"/>
    <w:basedOn w:val="Normal"/>
    <w:next w:val="Normal"/>
    <w:link w:val="Heading9Char"/>
    <w:uiPriority w:val="9"/>
    <w:unhideWhenUsed/>
    <w:qFormat/>
    <w:rsid w:val="00421B64"/>
    <w:pPr>
      <w:keepNext/>
      <w:keepLines/>
      <w:numPr>
        <w:ilvl w:val="8"/>
        <w:numId w:val="1"/>
      </w:numPr>
      <w:spacing w:before="40" w:after="0"/>
      <w:outlineLvl w:val="8"/>
    </w:pPr>
    <w:rPr>
      <w:rFonts w:ascii="Cambria" w:hAnsi="Cambria"/>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1B6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421B64"/>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421B64"/>
    <w:rPr>
      <w:b/>
      <w:bCs/>
    </w:rPr>
  </w:style>
  <w:style w:type="paragraph" w:styleId="EndnoteText">
    <w:name w:val="endnote text"/>
    <w:basedOn w:val="Normal"/>
    <w:link w:val="EndnoteTextChar"/>
    <w:uiPriority w:val="99"/>
    <w:unhideWhenUsed/>
    <w:rsid w:val="00421B64"/>
    <w:pPr>
      <w:spacing w:after="0" w:line="240" w:lineRule="auto"/>
    </w:pPr>
    <w:rPr>
      <w:sz w:val="20"/>
      <w:szCs w:val="20"/>
    </w:rPr>
  </w:style>
  <w:style w:type="paragraph" w:styleId="Footer">
    <w:name w:val="footer"/>
    <w:basedOn w:val="Normal"/>
    <w:link w:val="FooterChar"/>
    <w:uiPriority w:val="99"/>
    <w:unhideWhenUsed/>
    <w:rsid w:val="00421B64"/>
    <w:pPr>
      <w:tabs>
        <w:tab w:val="center" w:pos="4513"/>
        <w:tab w:val="right" w:pos="9026"/>
      </w:tabs>
      <w:spacing w:after="0" w:line="240" w:lineRule="auto"/>
    </w:pPr>
  </w:style>
  <w:style w:type="paragraph" w:styleId="FootnoteText">
    <w:name w:val="footnote text"/>
    <w:basedOn w:val="Normal"/>
    <w:link w:val="FootnoteTextChar"/>
    <w:uiPriority w:val="99"/>
    <w:unhideWhenUsed/>
    <w:rsid w:val="00421B64"/>
    <w:pPr>
      <w:spacing w:after="0" w:line="240" w:lineRule="auto"/>
    </w:pPr>
    <w:rPr>
      <w:sz w:val="20"/>
      <w:szCs w:val="20"/>
    </w:rPr>
  </w:style>
  <w:style w:type="paragraph" w:styleId="Header">
    <w:name w:val="header"/>
    <w:basedOn w:val="Normal"/>
    <w:link w:val="HeaderChar"/>
    <w:uiPriority w:val="99"/>
    <w:unhideWhenUsed/>
    <w:rsid w:val="00421B64"/>
    <w:pPr>
      <w:tabs>
        <w:tab w:val="center" w:pos="4513"/>
        <w:tab w:val="right" w:pos="9026"/>
      </w:tabs>
      <w:spacing w:after="0" w:line="240" w:lineRule="auto"/>
    </w:pPr>
  </w:style>
  <w:style w:type="paragraph" w:styleId="Subtitle">
    <w:name w:val="Subtitle"/>
    <w:basedOn w:val="Normal"/>
    <w:next w:val="Normal"/>
    <w:link w:val="SubtitleChar"/>
    <w:uiPriority w:val="11"/>
    <w:qFormat/>
    <w:rsid w:val="00421B64"/>
    <w:rPr>
      <w:rFonts w:ascii="Candara" w:hAnsi="Candara"/>
      <w:b/>
      <w:iCs/>
      <w:color w:val="4F81BD"/>
      <w:spacing w:val="15"/>
      <w:sz w:val="36"/>
    </w:rPr>
  </w:style>
  <w:style w:type="paragraph" w:styleId="Title">
    <w:name w:val="Title"/>
    <w:basedOn w:val="Normal"/>
    <w:next w:val="Normal"/>
    <w:link w:val="TitleChar"/>
    <w:uiPriority w:val="10"/>
    <w:qFormat/>
    <w:rsid w:val="00421B64"/>
    <w:pPr>
      <w:pBdr>
        <w:bottom w:val="single" w:sz="8" w:space="4" w:color="4F81BD"/>
      </w:pBdr>
      <w:spacing w:after="300" w:line="240" w:lineRule="auto"/>
      <w:contextualSpacing/>
    </w:pPr>
    <w:rPr>
      <w:rFonts w:ascii="Candara" w:hAnsi="Candara"/>
      <w:color w:val="16365C"/>
      <w:spacing w:val="5"/>
      <w:kern w:val="28"/>
      <w:sz w:val="52"/>
      <w:szCs w:val="52"/>
    </w:rPr>
  </w:style>
  <w:style w:type="paragraph" w:styleId="TOC1">
    <w:name w:val="toc 1"/>
    <w:basedOn w:val="Normal"/>
    <w:next w:val="Normal"/>
    <w:uiPriority w:val="39"/>
    <w:unhideWhenUsed/>
    <w:rsid w:val="00421B64"/>
    <w:pPr>
      <w:spacing w:after="100"/>
    </w:pPr>
  </w:style>
  <w:style w:type="paragraph" w:styleId="TOC2">
    <w:name w:val="toc 2"/>
    <w:basedOn w:val="Normal"/>
    <w:next w:val="Normal"/>
    <w:uiPriority w:val="39"/>
    <w:unhideWhenUsed/>
    <w:rsid w:val="00421B64"/>
    <w:pPr>
      <w:spacing w:after="100"/>
      <w:ind w:left="220"/>
    </w:pPr>
  </w:style>
  <w:style w:type="paragraph" w:styleId="TOC3">
    <w:name w:val="toc 3"/>
    <w:basedOn w:val="Normal"/>
    <w:next w:val="Normal"/>
    <w:uiPriority w:val="39"/>
    <w:unhideWhenUsed/>
    <w:rsid w:val="00421B64"/>
    <w:pPr>
      <w:spacing w:after="100"/>
      <w:ind w:left="440"/>
    </w:pPr>
  </w:style>
  <w:style w:type="character" w:styleId="CommentReference">
    <w:name w:val="annotation reference"/>
    <w:basedOn w:val="DefaultParagraphFont"/>
    <w:uiPriority w:val="99"/>
    <w:unhideWhenUsed/>
    <w:rsid w:val="00421B64"/>
    <w:rPr>
      <w:sz w:val="16"/>
      <w:szCs w:val="16"/>
    </w:rPr>
  </w:style>
  <w:style w:type="character" w:styleId="EndnoteReference">
    <w:name w:val="endnote reference"/>
    <w:basedOn w:val="DefaultParagraphFont"/>
    <w:uiPriority w:val="99"/>
    <w:unhideWhenUsed/>
    <w:rsid w:val="00421B64"/>
    <w:rPr>
      <w:vertAlign w:val="superscript"/>
    </w:rPr>
  </w:style>
  <w:style w:type="character" w:styleId="FootnoteReference">
    <w:name w:val="footnote reference"/>
    <w:basedOn w:val="DefaultParagraphFont"/>
    <w:uiPriority w:val="99"/>
    <w:unhideWhenUsed/>
    <w:rsid w:val="00421B64"/>
    <w:rPr>
      <w:vertAlign w:val="superscript"/>
    </w:rPr>
  </w:style>
  <w:style w:type="character" w:styleId="Hyperlink">
    <w:name w:val="Hyperlink"/>
    <w:basedOn w:val="DefaultParagraphFont"/>
    <w:uiPriority w:val="99"/>
    <w:unhideWhenUsed/>
    <w:rsid w:val="00421B64"/>
    <w:rPr>
      <w:color w:val="0000FF"/>
      <w:u w:val="single"/>
    </w:rPr>
  </w:style>
  <w:style w:type="paragraph" w:customStyle="1" w:styleId="TOCHeading1">
    <w:name w:val="TOC Heading1"/>
    <w:basedOn w:val="Heading1"/>
    <w:next w:val="Normal"/>
    <w:uiPriority w:val="39"/>
    <w:unhideWhenUsed/>
    <w:qFormat/>
    <w:rsid w:val="00421B64"/>
    <w:pPr>
      <w:outlineLvl w:val="9"/>
    </w:pPr>
    <w:rPr>
      <w:rFonts w:ascii="Cambria" w:hAnsi="Cambria"/>
      <w:lang w:eastAsia="ja-JP"/>
    </w:rPr>
  </w:style>
  <w:style w:type="paragraph" w:customStyle="1" w:styleId="NoSpacing1">
    <w:name w:val="No Spacing1"/>
    <w:link w:val="NoSpacingChar"/>
    <w:uiPriority w:val="1"/>
    <w:qFormat/>
    <w:rsid w:val="00421B64"/>
    <w:rPr>
      <w:rFonts w:ascii="Calibri" w:eastAsia="Calibri" w:hAnsi="Calibri"/>
      <w:sz w:val="24"/>
      <w:szCs w:val="24"/>
      <w:lang w:eastAsia="ja-JP"/>
    </w:rPr>
  </w:style>
  <w:style w:type="paragraph" w:customStyle="1" w:styleId="ListParagraph1">
    <w:name w:val="List Paragraph1"/>
    <w:basedOn w:val="Normal"/>
    <w:uiPriority w:val="34"/>
    <w:qFormat/>
    <w:rsid w:val="00421B64"/>
    <w:pPr>
      <w:ind w:left="720"/>
      <w:contextualSpacing/>
    </w:pPr>
  </w:style>
  <w:style w:type="character" w:customStyle="1" w:styleId="HeaderChar">
    <w:name w:val="Header Char"/>
    <w:basedOn w:val="DefaultParagraphFont"/>
    <w:link w:val="Header"/>
    <w:uiPriority w:val="99"/>
    <w:rsid w:val="00421B64"/>
  </w:style>
  <w:style w:type="character" w:customStyle="1" w:styleId="FooterChar">
    <w:name w:val="Footer Char"/>
    <w:basedOn w:val="DefaultParagraphFont"/>
    <w:link w:val="Footer"/>
    <w:uiPriority w:val="99"/>
    <w:rsid w:val="00421B64"/>
  </w:style>
  <w:style w:type="character" w:customStyle="1" w:styleId="BalloonTextChar">
    <w:name w:val="Balloon Text Char"/>
    <w:basedOn w:val="DefaultParagraphFont"/>
    <w:link w:val="BalloonText"/>
    <w:uiPriority w:val="99"/>
    <w:semiHidden/>
    <w:rsid w:val="00421B64"/>
    <w:rPr>
      <w:rFonts w:ascii="Tahoma" w:hAnsi="Tahoma" w:cs="Tahoma"/>
      <w:sz w:val="16"/>
      <w:szCs w:val="16"/>
    </w:rPr>
  </w:style>
  <w:style w:type="character" w:customStyle="1" w:styleId="TitleChar">
    <w:name w:val="Title Char"/>
    <w:basedOn w:val="DefaultParagraphFont"/>
    <w:link w:val="Title"/>
    <w:uiPriority w:val="10"/>
    <w:rsid w:val="00421B64"/>
    <w:rPr>
      <w:rFonts w:ascii="Candara" w:hAnsi="Candara"/>
      <w:color w:val="16365C"/>
      <w:spacing w:val="5"/>
      <w:kern w:val="28"/>
      <w:sz w:val="52"/>
      <w:szCs w:val="52"/>
    </w:rPr>
  </w:style>
  <w:style w:type="character" w:customStyle="1" w:styleId="Heading1Char">
    <w:name w:val="Heading 1 Char"/>
    <w:basedOn w:val="DefaultParagraphFont"/>
    <w:link w:val="Heading1"/>
    <w:uiPriority w:val="9"/>
    <w:rsid w:val="00421B64"/>
    <w:rPr>
      <w:rFonts w:ascii="Candara" w:eastAsia="Calibri" w:hAnsi="Candara"/>
      <w:b/>
      <w:bCs/>
      <w:color w:val="1F497D"/>
      <w:sz w:val="36"/>
      <w:szCs w:val="28"/>
      <w:shd w:val="clear" w:color="auto" w:fill="DBE5F1"/>
      <w:lang w:val="en-GB"/>
    </w:rPr>
  </w:style>
  <w:style w:type="character" w:customStyle="1" w:styleId="Heading2Char">
    <w:name w:val="Heading 2 Char"/>
    <w:basedOn w:val="DefaultParagraphFont"/>
    <w:link w:val="Heading2"/>
    <w:uiPriority w:val="9"/>
    <w:rsid w:val="00421B64"/>
    <w:rPr>
      <w:rFonts w:ascii="Candara" w:eastAsia="Calibri" w:hAnsi="Candara"/>
      <w:b/>
      <w:bCs/>
      <w:caps/>
      <w:color w:val="4F81BD"/>
      <w:sz w:val="28"/>
      <w:szCs w:val="26"/>
      <w:lang w:val="en-GB"/>
    </w:rPr>
  </w:style>
  <w:style w:type="character" w:customStyle="1" w:styleId="SubtitleChar">
    <w:name w:val="Subtitle Char"/>
    <w:basedOn w:val="DefaultParagraphFont"/>
    <w:link w:val="Subtitle"/>
    <w:uiPriority w:val="11"/>
    <w:rsid w:val="00421B64"/>
    <w:rPr>
      <w:rFonts w:ascii="Candara" w:hAnsi="Candara"/>
      <w:b/>
      <w:iCs/>
      <w:color w:val="4F81BD"/>
      <w:spacing w:val="15"/>
      <w:sz w:val="36"/>
      <w:szCs w:val="24"/>
    </w:rPr>
  </w:style>
  <w:style w:type="character" w:customStyle="1" w:styleId="NoSpacingChar">
    <w:name w:val="No Spacing Char"/>
    <w:basedOn w:val="DefaultParagraphFont"/>
    <w:link w:val="NoSpacing1"/>
    <w:uiPriority w:val="1"/>
    <w:rsid w:val="00421B64"/>
    <w:rPr>
      <w:rFonts w:ascii="Calibri" w:eastAsia="Calibri" w:hAnsi="Calibri"/>
      <w:sz w:val="24"/>
      <w:szCs w:val="24"/>
      <w:lang w:val="en-US" w:eastAsia="ja-JP" w:bidi="ar-SA"/>
    </w:rPr>
  </w:style>
  <w:style w:type="character" w:customStyle="1" w:styleId="PlaceholderText1">
    <w:name w:val="Placeholder Text1"/>
    <w:basedOn w:val="DefaultParagraphFont"/>
    <w:uiPriority w:val="99"/>
    <w:semiHidden/>
    <w:rsid w:val="00421B64"/>
    <w:rPr>
      <w:color w:val="808080"/>
    </w:rPr>
  </w:style>
  <w:style w:type="character" w:customStyle="1" w:styleId="Heading3Char">
    <w:name w:val="Heading 3 Char"/>
    <w:basedOn w:val="DefaultParagraphFont"/>
    <w:link w:val="Heading3"/>
    <w:uiPriority w:val="9"/>
    <w:rsid w:val="00421B64"/>
    <w:rPr>
      <w:rFonts w:ascii="Candara" w:eastAsia="Calibri" w:hAnsi="Candara"/>
      <w:bCs/>
      <w:caps/>
      <w:color w:val="4F81BD"/>
      <w:sz w:val="22"/>
      <w:szCs w:val="22"/>
      <w:lang w:val="en-GB"/>
    </w:rPr>
  </w:style>
  <w:style w:type="character" w:customStyle="1" w:styleId="Heading4Char">
    <w:name w:val="Heading 4 Char"/>
    <w:basedOn w:val="DefaultParagraphFont"/>
    <w:link w:val="Heading4"/>
    <w:uiPriority w:val="9"/>
    <w:rsid w:val="00421B64"/>
    <w:rPr>
      <w:rFonts w:ascii="Candara" w:eastAsia="Calibri" w:hAnsi="Candara"/>
      <w:b/>
      <w:bCs/>
      <w:iCs/>
      <w:color w:val="4F81BD"/>
      <w:sz w:val="22"/>
      <w:szCs w:val="22"/>
      <w:lang w:val="en-GB"/>
    </w:rPr>
  </w:style>
  <w:style w:type="character" w:customStyle="1" w:styleId="Heading5Char">
    <w:name w:val="Heading 5 Char"/>
    <w:basedOn w:val="DefaultParagraphFont"/>
    <w:link w:val="Heading5"/>
    <w:uiPriority w:val="9"/>
    <w:rsid w:val="00421B64"/>
    <w:rPr>
      <w:rFonts w:ascii="Candara" w:eastAsia="Calibri" w:hAnsi="Candara"/>
      <w:i/>
      <w:color w:val="4F81BD"/>
      <w:sz w:val="22"/>
      <w:szCs w:val="22"/>
      <w:lang w:val="en-GB"/>
    </w:rPr>
  </w:style>
  <w:style w:type="character" w:customStyle="1" w:styleId="Heading6Char">
    <w:name w:val="Heading 6 Char"/>
    <w:basedOn w:val="DefaultParagraphFont"/>
    <w:link w:val="Heading6"/>
    <w:uiPriority w:val="9"/>
    <w:rsid w:val="00421B64"/>
    <w:rPr>
      <w:rFonts w:ascii="Cambria" w:eastAsia="Calibri" w:hAnsi="Cambria"/>
      <w:color w:val="233E5F"/>
      <w:sz w:val="22"/>
      <w:szCs w:val="22"/>
      <w:lang w:val="en-GB"/>
    </w:rPr>
  </w:style>
  <w:style w:type="character" w:customStyle="1" w:styleId="Heading7Char">
    <w:name w:val="Heading 7 Char"/>
    <w:basedOn w:val="DefaultParagraphFont"/>
    <w:link w:val="Heading7"/>
    <w:uiPriority w:val="9"/>
    <w:rsid w:val="00421B64"/>
    <w:rPr>
      <w:rFonts w:ascii="Cambria" w:eastAsia="Calibri" w:hAnsi="Cambria"/>
      <w:i/>
      <w:iCs/>
      <w:color w:val="233E5F"/>
      <w:sz w:val="22"/>
      <w:szCs w:val="22"/>
      <w:lang w:val="en-GB"/>
    </w:rPr>
  </w:style>
  <w:style w:type="character" w:customStyle="1" w:styleId="Heading8Char">
    <w:name w:val="Heading 8 Char"/>
    <w:basedOn w:val="DefaultParagraphFont"/>
    <w:link w:val="Heading8"/>
    <w:uiPriority w:val="9"/>
    <w:rsid w:val="00421B64"/>
    <w:rPr>
      <w:rFonts w:ascii="Cambria" w:eastAsia="Calibri" w:hAnsi="Cambria"/>
      <w:color w:val="262626"/>
      <w:sz w:val="21"/>
      <w:szCs w:val="21"/>
      <w:lang w:val="en-GB"/>
    </w:rPr>
  </w:style>
  <w:style w:type="character" w:customStyle="1" w:styleId="Heading9Char">
    <w:name w:val="Heading 9 Char"/>
    <w:basedOn w:val="DefaultParagraphFont"/>
    <w:link w:val="Heading9"/>
    <w:uiPriority w:val="9"/>
    <w:rsid w:val="00421B64"/>
    <w:rPr>
      <w:rFonts w:ascii="Cambria" w:eastAsia="Calibri" w:hAnsi="Cambria"/>
      <w:i/>
      <w:iCs/>
      <w:color w:val="262626"/>
      <w:sz w:val="21"/>
      <w:szCs w:val="21"/>
      <w:lang w:val="en-GB"/>
    </w:rPr>
  </w:style>
  <w:style w:type="character" w:customStyle="1" w:styleId="EndnoteTextChar">
    <w:name w:val="Endnote Text Char"/>
    <w:basedOn w:val="DefaultParagraphFont"/>
    <w:link w:val="EndnoteText"/>
    <w:uiPriority w:val="99"/>
    <w:rsid w:val="00421B64"/>
    <w:rPr>
      <w:sz w:val="20"/>
      <w:szCs w:val="20"/>
    </w:rPr>
  </w:style>
  <w:style w:type="character" w:customStyle="1" w:styleId="CommentTextChar">
    <w:name w:val="Comment Text Char"/>
    <w:basedOn w:val="DefaultParagraphFont"/>
    <w:link w:val="CommentText"/>
    <w:uiPriority w:val="99"/>
    <w:rsid w:val="00421B64"/>
    <w:rPr>
      <w:sz w:val="20"/>
      <w:szCs w:val="20"/>
    </w:rPr>
  </w:style>
  <w:style w:type="character" w:customStyle="1" w:styleId="CommentSubjectChar">
    <w:name w:val="Comment Subject Char"/>
    <w:basedOn w:val="CommentTextChar"/>
    <w:link w:val="CommentSubject"/>
    <w:uiPriority w:val="99"/>
    <w:semiHidden/>
    <w:rsid w:val="00421B64"/>
    <w:rPr>
      <w:b/>
      <w:bCs/>
      <w:sz w:val="20"/>
      <w:szCs w:val="20"/>
    </w:rPr>
  </w:style>
  <w:style w:type="character" w:customStyle="1" w:styleId="FootnoteTextChar">
    <w:name w:val="Footnote Text Char"/>
    <w:basedOn w:val="DefaultParagraphFont"/>
    <w:link w:val="FootnoteText"/>
    <w:uiPriority w:val="99"/>
    <w:semiHidden/>
    <w:rsid w:val="00421B64"/>
    <w:rPr>
      <w:sz w:val="20"/>
      <w:szCs w:val="20"/>
    </w:rPr>
  </w:style>
  <w:style w:type="paragraph" w:styleId="Revision">
    <w:name w:val="Revision"/>
    <w:hidden/>
    <w:uiPriority w:val="99"/>
    <w:unhideWhenUsed/>
    <w:rsid w:val="00E56DD3"/>
    <w:rPr>
      <w:rFonts w:ascii="Calibri" w:eastAsia="Calibri" w:hAnsi="Calibri"/>
      <w:sz w:val="22"/>
      <w:szCs w:val="22"/>
    </w:rPr>
  </w:style>
  <w:style w:type="paragraph" w:styleId="ListParagraph">
    <w:name w:val="List Paragraph"/>
    <w:basedOn w:val="Normal"/>
    <w:uiPriority w:val="34"/>
    <w:qFormat/>
    <w:rsid w:val="002C3B8A"/>
    <w:pPr>
      <w:ind w:left="720"/>
      <w:contextualSpacing/>
    </w:pPr>
  </w:style>
  <w:style w:type="paragraph" w:styleId="TOCHeading">
    <w:name w:val="TOC Heading"/>
    <w:basedOn w:val="Heading1"/>
    <w:next w:val="Normal"/>
    <w:uiPriority w:val="39"/>
    <w:unhideWhenUsed/>
    <w:qFormat/>
    <w:rsid w:val="00514694"/>
    <w:pPr>
      <w:numPr>
        <w:numId w:val="0"/>
      </w:numPr>
      <w:shd w:val="clear" w:color="auto" w:fill="auto"/>
      <w:spacing w:before="240" w:after="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UnresolvedMention">
    <w:name w:val="Unresolved Mention"/>
    <w:basedOn w:val="DefaultParagraphFont"/>
    <w:uiPriority w:val="99"/>
    <w:semiHidden/>
    <w:unhideWhenUsed/>
    <w:rsid w:val="006B2857"/>
    <w:rPr>
      <w:color w:val="808080"/>
      <w:shd w:val="clear" w:color="auto" w:fill="E6E6E6"/>
    </w:rPr>
  </w:style>
  <w:style w:type="character" w:styleId="FollowedHyperlink">
    <w:name w:val="FollowedHyperlink"/>
    <w:basedOn w:val="DefaultParagraphFont"/>
    <w:semiHidden/>
    <w:unhideWhenUsed/>
    <w:rsid w:val="005647A5"/>
    <w:rPr>
      <w:color w:val="800080" w:themeColor="followedHyperlink"/>
      <w:u w:val="single"/>
    </w:rPr>
  </w:style>
  <w:style w:type="character" w:customStyle="1" w:styleId="FootnoteTextChar1">
    <w:name w:val="Footnote Text Char1"/>
    <w:basedOn w:val="DefaultParagraphFont"/>
    <w:uiPriority w:val="99"/>
    <w:semiHidden/>
    <w:rsid w:val="004800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5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20" Type="http://schemas.openxmlformats.org/officeDocument/2006/relationships/hyperlink" Target="https://www.bmj.com/content/359/bmj.j4956" TargetMode="External"/><Relationship Id="rId21" Type="http://schemas.openxmlformats.org/officeDocument/2006/relationships/hyperlink" Target="http://www.europarl.europa.eu/RegData/etudes/STUD/2015/542219/IPOL_STU(2015)542219_EN.pdf" TargetMode="External"/><Relationship Id="rId22" Type="http://schemas.openxmlformats.org/officeDocument/2006/relationships/hyperlink" Target="http://www.geneticalliance.org.uk/docs/risks-and-benefits-2-report.pdf" TargetMode="External"/><Relationship Id="rId23" Type="http://schemas.openxmlformats.org/officeDocument/2006/relationships/hyperlink" Target="http://ec.europa.eu/health/technology_assessment/docs/2014_strategy_eucooperation_hta_en.pdf" TargetMode="External"/><Relationship Id="rId24" Type="http://schemas.openxmlformats.org/officeDocument/2006/relationships/hyperlink" Target="http://www.eu-patient.eu/whatwedo/Initiatives/" TargetMode="External"/><Relationship Id="rId25" Type="http://schemas.openxmlformats.org/officeDocument/2006/relationships/hyperlink" Target="http://adaptsmart.eu/early-access-is-it-worth-it-2/" TargetMode="External"/><Relationship Id="rId26" Type="http://schemas.openxmlformats.org/officeDocument/2006/relationships/hyperlink" Target="http://ec.europa.eu/health/documents/pharmaceutical-committee/stamp/index_en.htm" TargetMode="External"/><Relationship Id="rId27" Type="http://schemas.openxmlformats.org/officeDocument/2006/relationships/hyperlink" Target="http://adaptsmart.eu/" TargetMode="External"/><Relationship Id="rId28" Type="http://schemas.openxmlformats.org/officeDocument/2006/relationships/hyperlink" Target="http://www.eurordis.org/content/moca" TargetMode="External"/><Relationship Id="rId29" Type="http://schemas.openxmlformats.org/officeDocument/2006/relationships/hyperlink" Target="http://www.earlydialogues.eu/has/" TargetMode="External"/><Relationship Id="rId1" Type="http://schemas.openxmlformats.org/officeDocument/2006/relationships/hyperlink" Target="http://www.eu-patient.eu/whatwedo/Policy/access-to-healthcare/" TargetMode="External"/><Relationship Id="rId2" Type="http://schemas.openxmlformats.org/officeDocument/2006/relationships/hyperlink" Target="http://www.eu-patient.eu/Initatives-Policy/Policy/Health-inequalities/" TargetMode="External"/><Relationship Id="rId3" Type="http://schemas.openxmlformats.org/officeDocument/2006/relationships/hyperlink" Target="http://www.who.int/sdg/targets/en/" TargetMode="External"/><Relationship Id="rId4" Type="http://schemas.openxmlformats.org/officeDocument/2006/relationships/hyperlink" Target="http://www.permed2020.eu/" TargetMode="External"/><Relationship Id="rId5" Type="http://schemas.openxmlformats.org/officeDocument/2006/relationships/hyperlink" Target="https://www.washingtonpost.com/news/wonk/wp/2018/01/03/gene-therapy-for-inherited-blindness-sets-precedent-an-850000-price-tag/?utm_term=.a41624b7dc25" TargetMode="External"/><Relationship Id="rId30" Type="http://schemas.openxmlformats.org/officeDocument/2006/relationships/hyperlink" Target="http://eprints.lse.ac.uk/50513/1/__Libfile_repository_Content_Ferrario,%20A_Ferrario_Managed_%20entry_%20agreements_2013_Ferrario_Managed_%20entry_%20agreements_2013.pdf" TargetMode="External"/><Relationship Id="rId31" Type="http://schemas.openxmlformats.org/officeDocument/2006/relationships/hyperlink" Target="http://www.eu-patient.eu/globalassets/alliance-building/eurordis-epf-letter_call-on-payers_may2015.pdf" TargetMode="External"/><Relationship Id="rId32" Type="http://schemas.openxmlformats.org/officeDocument/2006/relationships/hyperlink" Target="https://www.rijksoverheid.nl/actueel/nieuws/2018/02/14/ierland-wil-zich-aansluiten-bij-geneesmiddelencoalitie-beneluxa" TargetMode="External"/><Relationship Id="rId9" Type="http://schemas.openxmlformats.org/officeDocument/2006/relationships/hyperlink" Target="http://www.unsgaccessmeds.org/final-report/" TargetMode="External"/><Relationship Id="rId6" Type="http://schemas.openxmlformats.org/officeDocument/2006/relationships/hyperlink" Target="http://www.oecd.org/publications/managing-new-technologies-in-health-care-9789264266438-en.htm" TargetMode="External"/><Relationship Id="rId7" Type="http://schemas.openxmlformats.org/officeDocument/2006/relationships/hyperlink" Target="https://www.reuters.com/article/us-mylan-nl-epipen-congress/u-s-lawmakers-blast-mylan-ceo-over-sickening-epipen-price-hikes-idUSKCN11R2OG" TargetMode="External"/><Relationship Id="rId8" Type="http://schemas.openxmlformats.org/officeDocument/2006/relationships/hyperlink" Target="http://www.unsgaccessmeds.org/new-page/" TargetMode="External"/><Relationship Id="rId33" Type="http://schemas.openxmlformats.org/officeDocument/2006/relationships/hyperlink" Target="http://www.unsgaccessmeds.org/" TargetMode="External"/><Relationship Id="rId34" Type="http://schemas.openxmlformats.org/officeDocument/2006/relationships/hyperlink" Target="http://www.eu-patient.eu/globalassets/policy/adherence-compliance-concordance/adherence-paper-final-rev_external.pdf" TargetMode="External"/><Relationship Id="rId10" Type="http://schemas.openxmlformats.org/officeDocument/2006/relationships/hyperlink" Target="http://apps.who.int/gb/ebwha/pdf_files/EB142/B142_13-en.pdf" TargetMode="External"/><Relationship Id="rId11" Type="http://schemas.openxmlformats.org/officeDocument/2006/relationships/hyperlink" Target="https://thewire.in/external-affairs/battle-access-medicines-vaccines-who" TargetMode="External"/><Relationship Id="rId12" Type="http://schemas.openxmlformats.org/officeDocument/2006/relationships/hyperlink" Target="https://eur-lex.europa.eu/legal-content/EN/TXT/PDF/?uri=CELEX:52016XG0723(03)&amp;qid=1522063481153&amp;from=EN" TargetMode="External"/><Relationship Id="rId13" Type="http://schemas.openxmlformats.org/officeDocument/2006/relationships/hyperlink" Target="http://www.europarl.europa.eu/sides/getDoc.do?pubRef=-//EP//NONSGML+REPORT+A8-2017-0040+0+DOC+PDF+V0//EN" TargetMode="External"/><Relationship Id="rId14" Type="http://schemas.openxmlformats.org/officeDocument/2006/relationships/hyperlink" Target="http://ec.europa.eu/health/systems_performance_assessment/docs/pharmaproductpricing_frep_en.pdf" TargetMode="External"/><Relationship Id="rId15" Type="http://schemas.openxmlformats.org/officeDocument/2006/relationships/hyperlink" Target="http://www.efpia.eu/uploads/Modules/Documents/pac-280214-ai6-a1-differentiated-pricing-position-paper-final.pdf" TargetMode="External"/><Relationship Id="rId16" Type="http://schemas.openxmlformats.org/officeDocument/2006/relationships/hyperlink" Target="http://www.eu-patient.eu/globalassets/policy/patientssafety/value-of-health-consensus-document.pdf" TargetMode="External"/><Relationship Id="rId17" Type="http://schemas.openxmlformats.org/officeDocument/2006/relationships/hyperlink" Target="http://www.ema.europa.eu/ema/index.jsp?curl=pages/about_us/general/general_content_000292.jsp&amp;mid=WC0b01ac05800293a4" TargetMode="External"/><Relationship Id="rId18" Type="http://schemas.openxmlformats.org/officeDocument/2006/relationships/hyperlink" Target="http://www.wemos.nl/files/Documenten%20Informatief/Bestanden%20voor%20'Medicijnen'/Position%20paper%20ATV%20Wemos%20SOMO%20EPHA%20ISDS.pdf" TargetMode="External"/><Relationship Id="rId19" Type="http://schemas.openxmlformats.org/officeDocument/2006/relationships/hyperlink" Target="https://www.bmj.com/content/359/bmj.j452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labiotech.eu/luxturna-rights-novartis-deal/" TargetMode="External"/><Relationship Id="rId2" Type="http://schemas.openxmlformats.org/officeDocument/2006/relationships/hyperlink" Target="http://www.irishexaminer.com/ireland/warning-to-control-costs-of-medicines-4692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LETTERHEA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51978-3424-1B48-B5C3-132D4E09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\Users\Camille\Desktop\_TEMPLATE-LETTERHEAD.dotx</Template>
  <TotalTime>0</TotalTime>
  <Pages>22</Pages>
  <Words>8171</Words>
  <Characters>46581</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Hewlett-Packard</Company>
  <LinksUpToDate>false</LinksUpToDate>
  <CharactersWithSpaces>54643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subject/>
  <dc:creator>Camille</dc:creator>
  <cp:keywords/>
  <dc:description/>
  <cp:lastModifiedBy>Kaisa Immonen</cp:lastModifiedBy>
  <cp:revision>2</cp:revision>
  <cp:lastPrinted>2016-06-02T15:52:00Z</cp:lastPrinted>
  <dcterms:created xsi:type="dcterms:W3CDTF">2018-04-27T20:27:00Z</dcterms:created>
  <dcterms:modified xsi:type="dcterms:W3CDTF">2018-04-27T20:27:00Z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1031-9.1.0.5113</vt:lpwstr>
  </property>
</Properties>
</file>