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95" w:rsidRPr="00BB29F2" w:rsidRDefault="00F63595" w:rsidP="00F63595">
      <w:pPr>
        <w:jc w:val="center"/>
        <w:rPr>
          <w:rFonts w:ascii="Calibri" w:hAnsi="Calibri" w:cs="Calibri"/>
          <w:b/>
          <w:sz w:val="40"/>
          <w:szCs w:val="40"/>
          <w:lang w:val="en-US"/>
        </w:rPr>
      </w:pPr>
      <w:bookmarkStart w:id="0" w:name="_GoBack"/>
      <w:bookmarkEnd w:id="0"/>
      <w:r w:rsidRPr="00BB29F2">
        <w:rPr>
          <w:rFonts w:ascii="Calibri" w:hAnsi="Calibri" w:cs="Calibri"/>
          <w:b/>
          <w:sz w:val="40"/>
          <w:szCs w:val="40"/>
          <w:lang w:val="en-US"/>
        </w:rPr>
        <w:t xml:space="preserve">Summer Training Course for Young Patients Advocates – Leadership </w:t>
      </w:r>
      <w:proofErr w:type="spellStart"/>
      <w:r w:rsidRPr="00BB29F2">
        <w:rPr>
          <w:rFonts w:ascii="Calibri" w:hAnsi="Calibri" w:cs="Calibri"/>
          <w:b/>
          <w:sz w:val="40"/>
          <w:szCs w:val="40"/>
          <w:lang w:val="en-US"/>
        </w:rPr>
        <w:t>Programme</w:t>
      </w:r>
      <w:proofErr w:type="spellEnd"/>
      <w:r w:rsidRPr="00BB29F2">
        <w:rPr>
          <w:rFonts w:ascii="Calibri" w:hAnsi="Calibri" w:cs="Calibri"/>
          <w:b/>
          <w:sz w:val="40"/>
          <w:szCs w:val="40"/>
          <w:lang w:val="en-US"/>
        </w:rPr>
        <w:t xml:space="preserve"> 2017</w:t>
      </w:r>
    </w:p>
    <w:p w:rsidR="00F63595" w:rsidRPr="00BB29F2" w:rsidRDefault="00F63595" w:rsidP="00F63595">
      <w:pPr>
        <w:jc w:val="center"/>
        <w:rPr>
          <w:rFonts w:ascii="Calibri" w:hAnsi="Calibri" w:cs="Calibri"/>
          <w:b/>
          <w:sz w:val="34"/>
          <w:szCs w:val="34"/>
          <w:lang w:val="en-AU"/>
        </w:rPr>
      </w:pPr>
    </w:p>
    <w:p w:rsidR="00F63595" w:rsidRDefault="00E4000B" w:rsidP="00E4000B">
      <w:pPr>
        <w:jc w:val="center"/>
        <w:rPr>
          <w:rFonts w:ascii="Calibri" w:eastAsia="Arial" w:hAnsi="Calibri" w:cs="Calibri"/>
          <w:b/>
          <w:color w:val="1F497D"/>
          <w:sz w:val="36"/>
          <w:szCs w:val="36"/>
          <w:lang w:eastAsia="en-US"/>
        </w:rPr>
      </w:pPr>
      <w:r>
        <w:rPr>
          <w:rFonts w:ascii="Calibri" w:eastAsia="Arial" w:hAnsi="Calibri" w:cs="Calibri"/>
          <w:b/>
          <w:color w:val="1F497D"/>
          <w:sz w:val="36"/>
          <w:szCs w:val="36"/>
          <w:lang w:eastAsia="en-US"/>
        </w:rPr>
        <w:t>ELIGIBILITY CRITERIA</w:t>
      </w:r>
    </w:p>
    <w:p w:rsidR="00E4000B" w:rsidRPr="00E4000B" w:rsidRDefault="00E4000B" w:rsidP="00E4000B">
      <w:pPr>
        <w:jc w:val="center"/>
        <w:rPr>
          <w:rFonts w:ascii="Calibri" w:eastAsia="Arial" w:hAnsi="Calibri" w:cs="Calibri"/>
          <w:b/>
          <w:color w:val="1F497D"/>
          <w:sz w:val="36"/>
          <w:szCs w:val="36"/>
          <w:lang w:eastAsia="en-US"/>
        </w:rPr>
      </w:pPr>
    </w:p>
    <w:p w:rsidR="00F63595" w:rsidRPr="00BB29F2" w:rsidRDefault="00F63595" w:rsidP="00F63595">
      <w:pPr>
        <w:spacing w:before="120" w:after="120"/>
        <w:rPr>
          <w:rFonts w:ascii="Calibri" w:hAnsi="Calibri" w:cs="Calibri"/>
          <w:szCs w:val="20"/>
        </w:rPr>
      </w:pPr>
      <w:r w:rsidRPr="00BB29F2">
        <w:rPr>
          <w:rFonts w:ascii="Calibri" w:hAnsi="Calibri" w:cs="Calibri"/>
          <w:szCs w:val="20"/>
        </w:rPr>
        <w:t xml:space="preserve">You should apply if you meet </w:t>
      </w:r>
      <w:r w:rsidRPr="00BB29F2">
        <w:rPr>
          <w:rFonts w:ascii="Calibri" w:hAnsi="Calibri" w:cs="Calibri"/>
          <w:szCs w:val="20"/>
          <w:u w:val="single"/>
        </w:rPr>
        <w:t xml:space="preserve">all </w:t>
      </w:r>
      <w:r w:rsidRPr="00BB29F2">
        <w:rPr>
          <w:rFonts w:ascii="Calibri" w:hAnsi="Calibri" w:cs="Calibri"/>
          <w:szCs w:val="20"/>
        </w:rPr>
        <w:t>the following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912"/>
      </w:tblGrid>
      <w:tr w:rsidR="00F63595" w:rsidRPr="00BB29F2" w:rsidTr="00F63595">
        <w:tc>
          <w:tcPr>
            <w:tcW w:w="5000" w:type="pct"/>
            <w:gridSpan w:val="2"/>
            <w:shd w:val="clear" w:color="auto" w:fill="auto"/>
          </w:tcPr>
          <w:p w:rsidR="00F63595" w:rsidRPr="00BB29F2" w:rsidRDefault="00F63595" w:rsidP="004226A9">
            <w:pPr>
              <w:overflowPunct w:val="0"/>
              <w:autoSpaceDE w:val="0"/>
              <w:autoSpaceDN w:val="0"/>
              <w:spacing w:before="120" w:after="120"/>
              <w:rPr>
                <w:rFonts w:ascii="Calibri" w:hAnsi="Calibri" w:cs="Calibri"/>
                <w:szCs w:val="20"/>
              </w:rPr>
            </w:pPr>
            <w:r w:rsidRPr="004C19C4">
              <w:rPr>
                <w:rFonts w:ascii="Calibri" w:hAnsi="Calibri" w:cs="Calibri"/>
                <w:szCs w:val="20"/>
              </w:rPr>
              <w:t>You should apply if you meet all the following requirements:</w:t>
            </w:r>
          </w:p>
        </w:tc>
      </w:tr>
      <w:tr w:rsidR="00F63595" w:rsidRPr="00BB29F2" w:rsidTr="00F63595">
        <w:tc>
          <w:tcPr>
            <w:tcW w:w="1322" w:type="pct"/>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t>Profile</w:t>
            </w:r>
          </w:p>
        </w:tc>
        <w:tc>
          <w:tcPr>
            <w:tcW w:w="3678" w:type="pct"/>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Applicants must be either be a:</w:t>
            </w:r>
          </w:p>
          <w:p w:rsidR="00F63595" w:rsidRPr="00BB29F2" w:rsidRDefault="00F63595" w:rsidP="002660FA">
            <w:pPr>
              <w:numPr>
                <w:ilvl w:val="0"/>
                <w:numId w:val="4"/>
              </w:numPr>
              <w:overflowPunct w:val="0"/>
              <w:autoSpaceDE w:val="0"/>
              <w:autoSpaceDN w:val="0"/>
              <w:spacing w:before="120" w:after="120"/>
              <w:rPr>
                <w:rFonts w:ascii="Calibri" w:hAnsi="Calibri" w:cs="Calibri"/>
                <w:szCs w:val="20"/>
              </w:rPr>
            </w:pPr>
            <w:r w:rsidRPr="00BB29F2">
              <w:rPr>
                <w:rFonts w:ascii="Calibri" w:hAnsi="Calibri" w:cs="Calibri"/>
                <w:szCs w:val="20"/>
              </w:rPr>
              <w:t xml:space="preserve">Young Employee or volunteer of a patient organisation </w:t>
            </w:r>
          </w:p>
          <w:p w:rsidR="00F63595" w:rsidRPr="00BB29F2" w:rsidRDefault="00F63595" w:rsidP="002660FA">
            <w:pPr>
              <w:numPr>
                <w:ilvl w:val="0"/>
                <w:numId w:val="4"/>
              </w:numPr>
              <w:overflowPunct w:val="0"/>
              <w:autoSpaceDE w:val="0"/>
              <w:autoSpaceDN w:val="0"/>
              <w:spacing w:before="120" w:after="120"/>
              <w:rPr>
                <w:rFonts w:ascii="Calibri" w:hAnsi="Calibri" w:cs="Calibri"/>
                <w:szCs w:val="20"/>
              </w:rPr>
            </w:pPr>
            <w:r w:rsidRPr="00BB29F2">
              <w:rPr>
                <w:rFonts w:ascii="Calibri" w:hAnsi="Calibri" w:cs="Calibri"/>
                <w:szCs w:val="20"/>
              </w:rPr>
              <w:t xml:space="preserve">Young Patient with a chronic and/or lifelong illness/condition who is affiliated with a patient organisation  </w:t>
            </w:r>
          </w:p>
          <w:p w:rsidR="00F63595" w:rsidRPr="00BB29F2" w:rsidRDefault="00F63595" w:rsidP="002660FA">
            <w:pPr>
              <w:numPr>
                <w:ilvl w:val="0"/>
                <w:numId w:val="4"/>
              </w:numPr>
              <w:overflowPunct w:val="0"/>
              <w:autoSpaceDE w:val="0"/>
              <w:autoSpaceDN w:val="0"/>
              <w:spacing w:before="120" w:after="120"/>
              <w:rPr>
                <w:rFonts w:ascii="Calibri" w:hAnsi="Calibri" w:cs="Calibri"/>
                <w:szCs w:val="20"/>
              </w:rPr>
            </w:pPr>
            <w:r w:rsidRPr="00BB29F2">
              <w:rPr>
                <w:rFonts w:ascii="Calibri" w:hAnsi="Calibri" w:cs="Calibri"/>
                <w:szCs w:val="20"/>
              </w:rPr>
              <w:t xml:space="preserve">Young Patient with a chronic and/or lifelong illness/condition who is not affiliated with a </w:t>
            </w:r>
            <w:r w:rsidRPr="00BB29F2">
              <w:rPr>
                <w:rFonts w:ascii="Calibri" w:eastAsia="Times New Roman" w:hAnsi="Calibri" w:cs="Calibri"/>
                <w:szCs w:val="20"/>
              </w:rPr>
              <w:t>patient organisation</w:t>
            </w:r>
          </w:p>
          <w:p w:rsidR="00F63595" w:rsidRPr="00BB29F2" w:rsidRDefault="002660FA" w:rsidP="002660FA">
            <w:pPr>
              <w:overflowPunct w:val="0"/>
              <w:autoSpaceDE w:val="0"/>
              <w:autoSpaceDN w:val="0"/>
              <w:spacing w:before="120" w:after="120"/>
              <w:rPr>
                <w:rFonts w:ascii="Calibri" w:hAnsi="Calibri" w:cs="Calibri"/>
                <w:szCs w:val="20"/>
              </w:rPr>
            </w:pPr>
            <w:r>
              <w:rPr>
                <w:rFonts w:ascii="Calibri" w:eastAsia="Times New Roman" w:hAnsi="Calibri" w:cs="Calibri"/>
                <w:szCs w:val="20"/>
              </w:rPr>
              <w:t>Alternatively, a f</w:t>
            </w:r>
            <w:r w:rsidR="00F63595" w:rsidRPr="00BB29F2">
              <w:rPr>
                <w:rFonts w:ascii="Calibri" w:eastAsia="Times New Roman" w:hAnsi="Calibri" w:cs="Calibri"/>
                <w:szCs w:val="20"/>
              </w:rPr>
              <w:t>amily member/carer of a young patient with a chronic an</w:t>
            </w:r>
            <w:r>
              <w:rPr>
                <w:rFonts w:ascii="Calibri" w:eastAsia="Times New Roman" w:hAnsi="Calibri" w:cs="Calibri"/>
                <w:szCs w:val="20"/>
              </w:rPr>
              <w:t>d/or lifelong illness/condition, who accompanies a young patient, and is active advocate can also submit its application.</w:t>
            </w:r>
          </w:p>
        </w:tc>
      </w:tr>
      <w:tr w:rsidR="00F63595" w:rsidRPr="00BB29F2" w:rsidTr="00F63595">
        <w:tc>
          <w:tcPr>
            <w:tcW w:w="1322" w:type="pct"/>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t>Age Range</w:t>
            </w:r>
          </w:p>
        </w:tc>
        <w:tc>
          <w:tcPr>
            <w:tcW w:w="3678" w:type="pct"/>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18 – 30</w:t>
            </w:r>
          </w:p>
        </w:tc>
      </w:tr>
      <w:tr w:rsidR="00F63595" w:rsidRPr="00BB29F2" w:rsidTr="00F63595">
        <w:tc>
          <w:tcPr>
            <w:tcW w:w="1322" w:type="pct"/>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t>Country of residence</w:t>
            </w:r>
          </w:p>
        </w:tc>
        <w:tc>
          <w:tcPr>
            <w:tcW w:w="3678" w:type="pct"/>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 xml:space="preserve">Applications will be accepted from candidates living in the EU Members States and those countries who have either the official EU candidate or potential candidate country status, as available </w:t>
            </w:r>
            <w:hyperlink r:id="rId5" w:history="1">
              <w:r w:rsidRPr="00BB29F2">
                <w:rPr>
                  <w:rStyle w:val="Hyperlink"/>
                  <w:rFonts w:ascii="Calibri" w:hAnsi="Calibri" w:cs="Calibri"/>
                  <w:szCs w:val="20"/>
                </w:rPr>
                <w:t>here</w:t>
              </w:r>
            </w:hyperlink>
            <w:r w:rsidRPr="00BB29F2">
              <w:rPr>
                <w:rFonts w:ascii="Calibri" w:hAnsi="Calibri" w:cs="Calibri"/>
                <w:szCs w:val="20"/>
              </w:rPr>
              <w:t xml:space="preserve"> </w:t>
            </w:r>
          </w:p>
        </w:tc>
      </w:tr>
      <w:tr w:rsidR="00F63595" w:rsidRPr="00BB29F2" w:rsidTr="00F63595">
        <w:tc>
          <w:tcPr>
            <w:tcW w:w="1322" w:type="pct"/>
            <w:shd w:val="clear" w:color="auto" w:fill="auto"/>
          </w:tcPr>
          <w:p w:rsidR="00F63595" w:rsidRPr="00BB29F2" w:rsidRDefault="00F63595" w:rsidP="004226A9">
            <w:pPr>
              <w:spacing w:before="120" w:after="120"/>
              <w:jc w:val="left"/>
              <w:rPr>
                <w:rFonts w:ascii="Calibri" w:hAnsi="Calibri" w:cs="Calibri"/>
                <w:b/>
                <w:szCs w:val="20"/>
              </w:rPr>
            </w:pPr>
            <w:r w:rsidRPr="00BB29F2">
              <w:rPr>
                <w:rFonts w:ascii="Calibri" w:hAnsi="Calibri" w:cs="Calibri"/>
                <w:b/>
                <w:szCs w:val="20"/>
              </w:rPr>
              <w:t xml:space="preserve">Other criteria: </w:t>
            </w:r>
          </w:p>
          <w:p w:rsidR="00F63595" w:rsidRPr="00BB29F2" w:rsidRDefault="00F63595" w:rsidP="004226A9">
            <w:pPr>
              <w:spacing w:before="120" w:after="120"/>
              <w:jc w:val="left"/>
              <w:rPr>
                <w:rFonts w:ascii="Calibri" w:hAnsi="Calibri" w:cs="Calibri"/>
                <w:b/>
                <w:szCs w:val="20"/>
              </w:rPr>
            </w:pPr>
            <w:r w:rsidRPr="00BB29F2">
              <w:rPr>
                <w:rFonts w:ascii="Calibri" w:hAnsi="Calibri" w:cs="Calibri"/>
                <w:b/>
                <w:szCs w:val="20"/>
              </w:rPr>
              <w:t>Knowledge of public health, interest in developing leadership abilities and advocacy skills and willingness to use the learning in practice</w:t>
            </w:r>
          </w:p>
        </w:tc>
        <w:tc>
          <w:tcPr>
            <w:tcW w:w="3678" w:type="pct"/>
            <w:shd w:val="clear" w:color="auto" w:fill="auto"/>
          </w:tcPr>
          <w:p w:rsidR="00F63595" w:rsidRPr="00BB29F2" w:rsidRDefault="00F63595" w:rsidP="004226A9">
            <w:pPr>
              <w:spacing w:before="120" w:after="120"/>
              <w:rPr>
                <w:rFonts w:ascii="Calibri" w:hAnsi="Calibri" w:cs="Calibri"/>
                <w:color w:val="000000"/>
                <w:szCs w:val="20"/>
              </w:rPr>
            </w:pPr>
            <w:r w:rsidRPr="00BB29F2">
              <w:rPr>
                <w:rFonts w:ascii="Calibri" w:hAnsi="Calibri" w:cs="Calibri"/>
                <w:color w:val="000000"/>
                <w:szCs w:val="20"/>
              </w:rPr>
              <w:t>This training course is designed for those who are passionate about advocacy and would like to further develop their leadership abilities and advocacy skills.</w:t>
            </w:r>
          </w:p>
          <w:p w:rsidR="00F63595" w:rsidRPr="00BB29F2" w:rsidRDefault="00F63595" w:rsidP="004226A9">
            <w:pPr>
              <w:spacing w:before="120" w:after="120"/>
              <w:rPr>
                <w:rFonts w:ascii="Calibri" w:hAnsi="Calibri" w:cs="Calibri"/>
                <w:color w:val="000000"/>
                <w:szCs w:val="20"/>
              </w:rPr>
            </w:pPr>
            <w:r w:rsidRPr="00BB29F2">
              <w:rPr>
                <w:rFonts w:ascii="Calibri" w:hAnsi="Calibri" w:cs="Calibri"/>
                <w:color w:val="000000"/>
                <w:szCs w:val="20"/>
              </w:rPr>
              <w:t xml:space="preserve">Because of the training course requirements, including a follow-up phase, - it is preferable that applicants have at least a basic knowledge about public health and its applications to health care as well as understanding of importance of patients’ involvement in related policy and programme processes. </w:t>
            </w:r>
          </w:p>
          <w:p w:rsidR="00F63595" w:rsidRPr="00BB29F2" w:rsidRDefault="00F63595" w:rsidP="004226A9">
            <w:pPr>
              <w:spacing w:before="120" w:after="120"/>
              <w:rPr>
                <w:rFonts w:ascii="Calibri" w:hAnsi="Calibri" w:cs="Calibri"/>
                <w:color w:val="000000"/>
                <w:szCs w:val="20"/>
              </w:rPr>
            </w:pPr>
            <w:r w:rsidRPr="00BB29F2">
              <w:rPr>
                <w:rFonts w:ascii="Calibri" w:hAnsi="Calibri" w:cs="Calibri"/>
                <w:color w:val="000000"/>
                <w:szCs w:val="20"/>
              </w:rPr>
              <w:t>If you do sign up for this training course we expect you to commit yourself to applying the knowledge in practice by transferring learning to other young peers, to becoming actively (if not already) involved in patients’ advocacy, and be part of larger patients’ movement, after finishing the course.</w:t>
            </w:r>
          </w:p>
          <w:p w:rsidR="00F63595" w:rsidRPr="00BB29F2" w:rsidRDefault="00F63595" w:rsidP="004226A9">
            <w:pPr>
              <w:rPr>
                <w:rFonts w:ascii="Calibri" w:hAnsi="Calibri" w:cs="Calibri"/>
              </w:rPr>
            </w:pPr>
            <w:r w:rsidRPr="00BB29F2">
              <w:rPr>
                <w:rFonts w:ascii="Calibri" w:hAnsi="Calibri" w:cs="Calibri"/>
                <w:color w:val="000000"/>
                <w:szCs w:val="20"/>
              </w:rPr>
              <w:t xml:space="preserve">Finally, given the fact that the </w:t>
            </w:r>
            <w:r w:rsidRPr="00BB29F2">
              <w:rPr>
                <w:rFonts w:ascii="Calibri" w:hAnsi="Calibri" w:cs="Calibri"/>
              </w:rPr>
              <w:t xml:space="preserve">overarching theme for this year’s event is: overcoming discrimination, it is preferable that you have a high interest in how to apply the concepts on human rights issues and (non) discrimination in patients’ advocacy.  </w:t>
            </w:r>
          </w:p>
          <w:p w:rsidR="00F63595" w:rsidRPr="00BB29F2" w:rsidRDefault="00F63595" w:rsidP="004226A9">
            <w:pPr>
              <w:rPr>
                <w:rFonts w:ascii="Calibri" w:hAnsi="Calibri" w:cs="Calibri"/>
              </w:rPr>
            </w:pPr>
          </w:p>
        </w:tc>
      </w:tr>
      <w:tr w:rsidR="00F63595" w:rsidRPr="00BB29F2" w:rsidTr="00F63595">
        <w:tc>
          <w:tcPr>
            <w:tcW w:w="1322" w:type="pct"/>
            <w:tcBorders>
              <w:bottom w:val="single" w:sz="4" w:space="0" w:color="auto"/>
            </w:tcBorders>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t>Time Commitment</w:t>
            </w:r>
          </w:p>
        </w:tc>
        <w:tc>
          <w:tcPr>
            <w:tcW w:w="3678" w:type="pct"/>
            <w:tcBorders>
              <w:bottom w:val="single" w:sz="4" w:space="0" w:color="auto"/>
            </w:tcBorders>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Applicants must be able to commit to:</w:t>
            </w:r>
          </w:p>
          <w:p w:rsidR="00F63595" w:rsidRPr="00BB29F2" w:rsidRDefault="00F63595" w:rsidP="00F63595">
            <w:pPr>
              <w:numPr>
                <w:ilvl w:val="0"/>
                <w:numId w:val="3"/>
              </w:numPr>
              <w:spacing w:before="120" w:after="120"/>
              <w:jc w:val="left"/>
              <w:rPr>
                <w:rFonts w:ascii="Calibri" w:hAnsi="Calibri" w:cs="Calibri"/>
                <w:szCs w:val="20"/>
              </w:rPr>
            </w:pPr>
            <w:r w:rsidRPr="00BB29F2">
              <w:rPr>
                <w:rFonts w:ascii="Calibri" w:hAnsi="Calibri" w:cs="Calibri"/>
                <w:szCs w:val="20"/>
              </w:rPr>
              <w:lastRenderedPageBreak/>
              <w:t>actively participate in the online assessment occurring before the training course</w:t>
            </w:r>
            <w:r>
              <w:rPr>
                <w:rFonts w:ascii="Calibri" w:hAnsi="Calibri" w:cs="Calibri"/>
                <w:szCs w:val="20"/>
              </w:rPr>
              <w:t xml:space="preserve"> </w:t>
            </w:r>
            <w:r>
              <w:rPr>
                <w:rFonts w:ascii="Calibri" w:hAnsi="Calibri" w:cs="Calibri"/>
                <w:szCs w:val="20"/>
                <w:lang w:val="en-AU"/>
              </w:rPr>
              <w:t>(to be conducted in a period between April and May 2017)</w:t>
            </w:r>
          </w:p>
          <w:p w:rsidR="00F63595" w:rsidRPr="00BB29F2" w:rsidRDefault="00F63595" w:rsidP="00F63595">
            <w:pPr>
              <w:numPr>
                <w:ilvl w:val="0"/>
                <w:numId w:val="3"/>
              </w:numPr>
              <w:spacing w:before="120" w:after="120"/>
              <w:jc w:val="left"/>
              <w:rPr>
                <w:rFonts w:ascii="Calibri" w:hAnsi="Calibri" w:cs="Calibri"/>
                <w:szCs w:val="20"/>
              </w:rPr>
            </w:pPr>
            <w:r w:rsidRPr="00BB29F2">
              <w:rPr>
                <w:rFonts w:ascii="Calibri" w:hAnsi="Calibri" w:cs="Calibri"/>
                <w:szCs w:val="20"/>
              </w:rPr>
              <w:t xml:space="preserve">attend the training sessions in duration of full 3 days. The dates of the training are </w:t>
            </w:r>
            <w:r w:rsidRPr="00BB29F2">
              <w:rPr>
                <w:rFonts w:ascii="Calibri" w:hAnsi="Calibri" w:cs="Calibri"/>
                <w:b/>
              </w:rPr>
              <w:t>03-05 July 2017.</w:t>
            </w:r>
            <w:r w:rsidRPr="00BB29F2">
              <w:rPr>
                <w:rFonts w:ascii="Calibri" w:hAnsi="Calibri" w:cs="Calibri"/>
                <w:szCs w:val="20"/>
              </w:rPr>
              <w:t xml:space="preserve"> </w:t>
            </w:r>
          </w:p>
          <w:p w:rsidR="00F63595" w:rsidRPr="00BB29F2" w:rsidRDefault="00F63595" w:rsidP="00F63595">
            <w:pPr>
              <w:numPr>
                <w:ilvl w:val="0"/>
                <w:numId w:val="3"/>
              </w:numPr>
              <w:spacing w:before="120" w:after="120"/>
              <w:jc w:val="left"/>
              <w:rPr>
                <w:rFonts w:ascii="Calibri" w:hAnsi="Calibri" w:cs="Calibri"/>
                <w:szCs w:val="20"/>
              </w:rPr>
            </w:pPr>
            <w:r w:rsidRPr="00BB29F2">
              <w:rPr>
                <w:rFonts w:ascii="Calibri" w:hAnsi="Calibri" w:cs="Calibri"/>
                <w:szCs w:val="20"/>
              </w:rPr>
              <w:t>actively participate in the follow-up phase, including the evaluation</w:t>
            </w:r>
            <w:r>
              <w:rPr>
                <w:rFonts w:ascii="Calibri" w:hAnsi="Calibri" w:cs="Calibri"/>
                <w:szCs w:val="20"/>
              </w:rPr>
              <w:t xml:space="preserve"> </w:t>
            </w:r>
            <w:r>
              <w:rPr>
                <w:rFonts w:ascii="Calibri" w:hAnsi="Calibri" w:cs="Calibri"/>
                <w:szCs w:val="20"/>
                <w:lang w:val="en-AU"/>
              </w:rPr>
              <w:t>(to be conducted in a period between July and October 2017, with the possibility of extension during the next Summer Training Course)</w:t>
            </w:r>
          </w:p>
        </w:tc>
      </w:tr>
      <w:tr w:rsidR="00F63595" w:rsidRPr="00BB29F2" w:rsidTr="00F63595">
        <w:tc>
          <w:tcPr>
            <w:tcW w:w="1322" w:type="pct"/>
            <w:tcBorders>
              <w:bottom w:val="single" w:sz="4" w:space="0" w:color="auto"/>
            </w:tcBorders>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lastRenderedPageBreak/>
              <w:t>Language</w:t>
            </w:r>
          </w:p>
        </w:tc>
        <w:tc>
          <w:tcPr>
            <w:tcW w:w="3678" w:type="pct"/>
            <w:tcBorders>
              <w:bottom w:val="single" w:sz="4" w:space="0" w:color="auto"/>
            </w:tcBorders>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 xml:space="preserve">The whole programme will be available in English. </w:t>
            </w:r>
          </w:p>
          <w:p w:rsidR="00F63595" w:rsidRPr="00BB29F2" w:rsidRDefault="00F63595" w:rsidP="004226A9">
            <w:pPr>
              <w:spacing w:before="120" w:after="120"/>
              <w:rPr>
                <w:rFonts w:ascii="Calibri" w:hAnsi="Calibri" w:cs="Calibri"/>
                <w:szCs w:val="20"/>
              </w:rPr>
            </w:pPr>
            <w:r w:rsidRPr="00BB29F2">
              <w:rPr>
                <w:rFonts w:ascii="Calibri" w:hAnsi="Calibri" w:cs="Calibri"/>
                <w:szCs w:val="20"/>
              </w:rPr>
              <w:t>To successfully take part in this training course, you, therefore, must have a working knowledge of the language at least an Upper Intermediate level (B2 of the Common</w:t>
            </w:r>
            <w:r w:rsidRPr="00BB29F2">
              <w:rPr>
                <w:rFonts w:ascii="Calibri" w:hAnsi="Calibri" w:cs="Calibri"/>
              </w:rPr>
              <w:t xml:space="preserve"> </w:t>
            </w:r>
            <w:r w:rsidRPr="00BB29F2">
              <w:rPr>
                <w:rFonts w:ascii="Calibri" w:hAnsi="Calibri" w:cs="Calibri"/>
                <w:szCs w:val="20"/>
              </w:rPr>
              <w:t>European Framework of Reference for Languages), meaning:</w:t>
            </w:r>
          </w:p>
          <w:p w:rsidR="00F63595" w:rsidRPr="00BB29F2" w:rsidRDefault="00F63595" w:rsidP="004226A9">
            <w:pPr>
              <w:spacing w:before="120" w:after="120"/>
              <w:rPr>
                <w:rFonts w:ascii="Calibri" w:hAnsi="Calibri" w:cs="Calibri"/>
              </w:rPr>
            </w:pPr>
            <w:r w:rsidRPr="00BB29F2">
              <w:rPr>
                <w:rFonts w:ascii="Calibri" w:hAnsi="Calibri" w:cs="Calibri"/>
                <w:szCs w:val="20"/>
              </w:rPr>
              <w:t>“You can interact with a degree of fluency and spontaneity that makes regular interaction with native speakers quite possible without problems to understand each for either party. You can write clear, detailed text on a wide range of subjects”.</w:t>
            </w:r>
            <w:r w:rsidRPr="00BB29F2" w:rsidDel="004E1A73">
              <w:rPr>
                <w:rFonts w:ascii="Calibri" w:hAnsi="Calibri" w:cs="Calibri"/>
                <w:szCs w:val="20"/>
              </w:rPr>
              <w:t xml:space="preserve"> </w:t>
            </w:r>
          </w:p>
        </w:tc>
      </w:tr>
      <w:tr w:rsidR="00F63595" w:rsidRPr="00BB29F2" w:rsidTr="00F63595">
        <w:tc>
          <w:tcPr>
            <w:tcW w:w="1322" w:type="pct"/>
            <w:tcBorders>
              <w:top w:val="single" w:sz="4" w:space="0" w:color="auto"/>
              <w:left w:val="nil"/>
              <w:bottom w:val="nil"/>
              <w:right w:val="nil"/>
            </w:tcBorders>
            <w:shd w:val="clear" w:color="auto" w:fill="auto"/>
          </w:tcPr>
          <w:p w:rsidR="00F63595" w:rsidRPr="00BB29F2" w:rsidRDefault="00F63595" w:rsidP="004226A9">
            <w:pPr>
              <w:spacing w:before="120" w:after="120"/>
              <w:rPr>
                <w:rFonts w:ascii="Calibri" w:hAnsi="Calibri" w:cs="Calibri"/>
                <w:b/>
                <w:szCs w:val="20"/>
              </w:rPr>
            </w:pPr>
          </w:p>
        </w:tc>
        <w:tc>
          <w:tcPr>
            <w:tcW w:w="3678" w:type="pct"/>
            <w:tcBorders>
              <w:top w:val="single" w:sz="4" w:space="0" w:color="auto"/>
              <w:left w:val="nil"/>
              <w:bottom w:val="nil"/>
              <w:right w:val="nil"/>
            </w:tcBorders>
            <w:shd w:val="clear" w:color="auto" w:fill="auto"/>
          </w:tcPr>
          <w:p w:rsidR="00F63595" w:rsidRPr="00BB29F2" w:rsidRDefault="00F63595" w:rsidP="004226A9">
            <w:pPr>
              <w:spacing w:before="120" w:after="120"/>
              <w:rPr>
                <w:rFonts w:ascii="Calibri" w:hAnsi="Calibri" w:cs="Calibri"/>
                <w:szCs w:val="20"/>
              </w:rPr>
            </w:pPr>
          </w:p>
        </w:tc>
      </w:tr>
    </w:tbl>
    <w:p w:rsidR="00A968A9" w:rsidRDefault="00A968A9"/>
    <w:sectPr w:rsidR="00A968A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7B6A"/>
    <w:multiLevelType w:val="hybridMultilevel"/>
    <w:tmpl w:val="3D9E6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36569"/>
    <w:multiLevelType w:val="hybridMultilevel"/>
    <w:tmpl w:val="91A4B2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910A6D"/>
    <w:multiLevelType w:val="hybridMultilevel"/>
    <w:tmpl w:val="62024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F66C97"/>
    <w:multiLevelType w:val="hybridMultilevel"/>
    <w:tmpl w:val="62C8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95"/>
    <w:rsid w:val="002660FA"/>
    <w:rsid w:val="00400567"/>
    <w:rsid w:val="007C0759"/>
    <w:rsid w:val="00A968A9"/>
    <w:rsid w:val="00E4000B"/>
    <w:rsid w:val="00F6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479CB-2103-4D5A-9C97-7DF30471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3595"/>
    <w:pPr>
      <w:spacing w:after="0" w:line="240" w:lineRule="auto"/>
      <w:jc w:val="both"/>
    </w:pPr>
    <w:rPr>
      <w:rFonts w:ascii="Arial" w:eastAsia="MS Gothic" w:hAnsi="Arial" w:cs="Verdana"/>
      <w:sz w:val="20"/>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63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elena\AppData\Local\Microsoft\Windows\INetCache\Content.Outlook\AppData\Roaming\Microsoft\Word\he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Sara</cp:lastModifiedBy>
  <cp:revision>2</cp:revision>
  <dcterms:created xsi:type="dcterms:W3CDTF">2016-12-05T09:57:00Z</dcterms:created>
  <dcterms:modified xsi:type="dcterms:W3CDTF">2016-12-05T09:57:00Z</dcterms:modified>
</cp:coreProperties>
</file>